
<file path=[Content_Types].xml><?xml version="1.0" encoding="utf-8"?>
<Types xmlns="http://schemas.openxmlformats.org/package/2006/content-types">
  <Default Extension="xml" ContentType="application/xml"/>
  <Default Extension="xls" ContentType="application/vnd.ms-exce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7233"/>
      <w:bookmarkStart w:id="3" w:name="_Toc15377193"/>
      <w:bookmarkStart w:id="4" w:name="_Toc15378441"/>
      <w:bookmarkStart w:id="5" w:name="_Toc15396475"/>
      <w:bookmarkStart w:id="6" w:name="_Toc15377425"/>
      <w:r>
        <w:rPr>
          <w:rFonts w:hint="eastAsia" w:ascii="方正小标宋简体" w:hAnsi="宋体" w:eastAsia="方正小标宋简体"/>
          <w:color w:val="000000"/>
          <w:sz w:val="72"/>
          <w:szCs w:val="72"/>
        </w:rPr>
        <w:t>2018年度</w:t>
      </w:r>
      <w:bookmarkEnd w:id="1"/>
      <w:bookmarkEnd w:id="2"/>
      <w:bookmarkEnd w:id="3"/>
      <w:bookmarkEnd w:id="4"/>
      <w:bookmarkEnd w:id="5"/>
      <w:bookmarkEnd w:id="6"/>
      <w:bookmarkStart w:id="7" w:name="_Toc15378442"/>
      <w:bookmarkStart w:id="8" w:name="_Toc15377426"/>
      <w:bookmarkStart w:id="9" w:name="_Toc15377194"/>
      <w:bookmarkStart w:id="10" w:name="_Toc15396476"/>
      <w:bookmarkStart w:id="11" w:name="_Toc15396598"/>
    </w:p>
    <w:p>
      <w:pPr>
        <w:adjustRightInd w:val="0"/>
        <w:snapToGrid w:val="0"/>
        <w:spacing w:line="360" w:lineRule="auto"/>
        <w:jc w:val="center"/>
        <w:outlineLvl w:val="0"/>
        <w:rPr>
          <w:rFonts w:ascii="方正小标宋简体" w:hAnsi="宋体" w:eastAsia="方正小标宋简体"/>
          <w:color w:val="000000"/>
          <w:sz w:val="72"/>
          <w:szCs w:val="72"/>
        </w:rPr>
      </w:pPr>
      <w:bookmarkStart w:id="12" w:name="_Toc7370"/>
      <w:r>
        <w:rPr>
          <w:rFonts w:hint="eastAsia" w:ascii="方正小标宋简体" w:hAnsi="宋体" w:eastAsia="方正小标宋简体"/>
          <w:color w:val="000000"/>
          <w:sz w:val="72"/>
          <w:szCs w:val="72"/>
        </w:rPr>
        <w:t>四川省</w:t>
      </w:r>
      <w:bookmarkEnd w:id="0"/>
      <w:bookmarkStart w:id="13" w:name="_Toc15306268"/>
      <w:r>
        <w:rPr>
          <w:rFonts w:hint="eastAsia" w:ascii="方正小标宋简体" w:hAnsi="宋体" w:eastAsia="方正小标宋简体"/>
          <w:color w:val="000000"/>
          <w:sz w:val="72"/>
          <w:szCs w:val="72"/>
        </w:rPr>
        <w:t>汶川县检察院</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w:t>
      </w:r>
      <w:bookmarkEnd w:id="12"/>
      <w:bookmarkStart w:id="14" w:name="_Toc20528"/>
      <w:r>
        <w:rPr>
          <w:rFonts w:hint="eastAsia" w:ascii="方正小标宋简体" w:hAnsi="宋体" w:eastAsia="方正小标宋简体"/>
          <w:color w:val="000000"/>
          <w:sz w:val="72"/>
          <w:szCs w:val="72"/>
        </w:rPr>
        <w:t>决算</w:t>
      </w:r>
      <w:bookmarkEnd w:id="7"/>
      <w:bookmarkEnd w:id="8"/>
      <w:bookmarkEnd w:id="9"/>
      <w:bookmarkEnd w:id="10"/>
      <w:bookmarkEnd w:id="11"/>
      <w:bookmarkEnd w:id="13"/>
      <w:bookmarkEnd w:id="14"/>
      <w:r>
        <w:rPr>
          <w:rFonts w:hint="eastAsia" w:ascii="方正小标宋简体" w:hAnsi="宋体" w:eastAsia="方正小标宋简体"/>
          <w:color w:val="000000"/>
          <w:sz w:val="72"/>
          <w:szCs w:val="72"/>
        </w:rPr>
        <w:t>编制说明</w:t>
      </w:r>
    </w:p>
    <w:p>
      <w:pPr>
        <w:adjustRightInd w:val="0"/>
        <w:snapToGrid w:val="0"/>
        <w:spacing w:line="360" w:lineRule="auto"/>
        <w:jc w:val="center"/>
        <w:outlineLvl w:val="0"/>
        <w:rPr>
          <w:rFonts w:ascii="方正小标宋简体" w:hAnsi="宋体" w:eastAsia="方正小标宋简体"/>
          <w:color w:val="000000"/>
          <w:sz w:val="72"/>
          <w:szCs w:val="72"/>
        </w:rPr>
      </w:pPr>
    </w:p>
    <w:p>
      <w:pPr>
        <w:widowControl/>
        <w:jc w:val="center"/>
        <w:rPr>
          <w:rFonts w:ascii="方正小标宋简体" w:hAnsi="宋体" w:eastAsia="方正小标宋简体"/>
          <w:color w:val="000000"/>
          <w:sz w:val="36"/>
          <w:szCs w:val="36"/>
        </w:rPr>
      </w:pPr>
    </w:p>
    <w:p>
      <w:pPr>
        <w:widowControl/>
        <w:jc w:val="center"/>
        <w:rPr>
          <w:rFonts w:ascii="黑体" w:hAnsi="黑体" w:eastAsia="黑体"/>
          <w:color w:val="000000"/>
          <w:sz w:val="48"/>
          <w:szCs w:val="48"/>
        </w:rPr>
        <w:sectPr>
          <w:headerReference r:id="rId3" w:type="default"/>
          <w:footerReference r:id="rId4" w:type="default"/>
          <w:pgSz w:w="11906" w:h="16838"/>
          <w:pgMar w:top="2098" w:right="1474" w:bottom="1984" w:left="1587" w:header="851" w:footer="992" w:gutter="0"/>
          <w:pgNumType w:fmt="numberInDash" w:start="1"/>
          <w:cols w:space="425" w:num="1"/>
          <w:titlePg/>
          <w:docGrid w:type="lines" w:linePitch="312" w:charSpace="0"/>
        </w:sectPr>
      </w:pPr>
      <w:bookmarkStart w:id="15" w:name="_Toc15377196"/>
      <w:bookmarkStart w:id="16" w:name="_Toc15396599"/>
    </w:p>
    <w:p>
      <w:pPr>
        <w:widowControl/>
        <w:jc w:val="center"/>
        <w:rPr>
          <w:rFonts w:ascii="黑体" w:hAnsi="黑体" w:eastAsia="黑体"/>
          <w:color w:val="000000"/>
          <w:sz w:val="48"/>
          <w:szCs w:val="48"/>
        </w:rPr>
      </w:pPr>
      <w:r>
        <w:rPr>
          <w:rFonts w:hint="eastAsia" w:ascii="黑体" w:hAnsi="黑体" w:eastAsia="黑体"/>
          <w:color w:val="000000"/>
          <w:sz w:val="48"/>
          <w:szCs w:val="48"/>
        </w:rPr>
        <w:t>目录</w:t>
      </w:r>
    </w:p>
    <w:p>
      <w:pPr>
        <w:pStyle w:val="12"/>
      </w:pPr>
      <w:r>
        <w:rPr>
          <w:rFonts w:hint="eastAsia"/>
        </w:rPr>
        <w:t>公开时间：2019年9月 日</w:t>
      </w:r>
    </w:p>
    <w:p>
      <w:pPr>
        <w:widowControl/>
        <w:jc w:val="left"/>
        <w:rPr>
          <w:rFonts w:ascii="黑体" w:hAnsi="黑体" w:eastAsia="黑体"/>
          <w:bCs/>
          <w:kern w:val="44"/>
          <w:sz w:val="44"/>
          <w:szCs w:val="44"/>
        </w:rPr>
      </w:pPr>
    </w:p>
    <w:bookmarkEnd w:id="15"/>
    <w:bookmarkEnd w:id="16"/>
    <w:p>
      <w:pPr>
        <w:pStyle w:val="12"/>
        <w:tabs>
          <w:tab w:val="right" w:leader="dot" w:pos="8845"/>
          <w:tab w:val="clear" w:pos="8296"/>
        </w:tabs>
        <w:spacing w:line="560" w:lineRule="exact"/>
        <w:jc w:val="left"/>
      </w:pPr>
      <w:bookmarkStart w:id="17" w:name="_Toc15396600"/>
      <w:bookmarkStart w:id="18" w:name="_Toc15377197"/>
      <w:r>
        <w:fldChar w:fldCharType="begin"/>
      </w:r>
      <w:r>
        <w:instrText xml:space="preserve">TOC \o "1-3" \h \u </w:instrText>
      </w:r>
      <w:r>
        <w:fldChar w:fldCharType="separate"/>
      </w:r>
      <w:r>
        <w:rPr>
          <w:rFonts w:hint="eastAsia"/>
        </w:rPr>
        <w:t>第一部分部门概况</w:t>
      </w:r>
      <w:r>
        <w:fldChar w:fldCharType="begin"/>
      </w:r>
      <w:r>
        <w:instrText xml:space="preserve"> HYPERLINK \l "_Toc7370" </w:instrText>
      </w:r>
      <w:r>
        <w:fldChar w:fldCharType="separate"/>
      </w:r>
      <w:r>
        <w:tab/>
      </w:r>
      <w:r>
        <w:fldChar w:fldCharType="begin"/>
      </w:r>
      <w:r>
        <w:instrText xml:space="preserve"> PAGEREF _Toc7370 </w:instrText>
      </w:r>
      <w:r>
        <w:fldChar w:fldCharType="separate"/>
      </w:r>
      <w:r>
        <w:t>- 1 -</w:t>
      </w:r>
      <w:r>
        <w:fldChar w:fldCharType="end"/>
      </w:r>
      <w:r>
        <w:fldChar w:fldCharType="end"/>
      </w:r>
    </w:p>
    <w:p>
      <w:pPr>
        <w:pStyle w:val="13"/>
        <w:tabs>
          <w:tab w:val="right" w:leader="dot" w:pos="8845"/>
          <w:tab w:val="clear" w:pos="8296"/>
        </w:tabs>
        <w:spacing w:line="560" w:lineRule="exact"/>
        <w:rPr>
          <w:rFonts w:ascii="仿宋_GB2312" w:hAnsi="仿宋_GB2312" w:eastAsia="仿宋_GB2312" w:cs="仿宋_GB2312"/>
          <w:sz w:val="24"/>
        </w:rPr>
      </w:pPr>
      <w:r>
        <w:fldChar w:fldCharType="begin"/>
      </w:r>
      <w:r>
        <w:instrText xml:space="preserve"> HYPERLINK \l "_Toc20592" </w:instrText>
      </w:r>
      <w:r>
        <w:fldChar w:fldCharType="separate"/>
      </w:r>
      <w:r>
        <w:rPr>
          <w:rFonts w:hint="eastAsia" w:ascii="仿宋_GB2312" w:hAnsi="仿宋_GB2312" w:eastAsia="仿宋_GB2312" w:cs="仿宋_GB2312"/>
          <w:sz w:val="24"/>
        </w:rPr>
        <w:t>一、基本职能及主要工作</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_Toc20592 </w:instrText>
      </w:r>
      <w:r>
        <w:rPr>
          <w:rFonts w:hint="eastAsia" w:ascii="仿宋_GB2312" w:hAnsi="仿宋_GB2312" w:eastAsia="仿宋_GB2312" w:cs="仿宋_GB2312"/>
          <w:sz w:val="24"/>
        </w:rPr>
        <w:fldChar w:fldCharType="separate"/>
      </w:r>
      <w:r>
        <w:rPr>
          <w:rFonts w:ascii="仿宋_GB2312" w:hAnsi="仿宋_GB2312" w:eastAsia="仿宋_GB2312" w:cs="仿宋_GB2312"/>
          <w:sz w:val="24"/>
        </w:rPr>
        <w:t>- 3 -</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pPr>
        <w:pStyle w:val="13"/>
        <w:tabs>
          <w:tab w:val="right" w:leader="dot" w:pos="8845"/>
          <w:tab w:val="clear" w:pos="8296"/>
        </w:tabs>
        <w:spacing w:line="560" w:lineRule="exact"/>
      </w:pPr>
      <w:r>
        <w:fldChar w:fldCharType="begin"/>
      </w:r>
      <w:r>
        <w:instrText xml:space="preserve"> HYPERLINK \l "_Toc17313" </w:instrText>
      </w:r>
      <w:r>
        <w:fldChar w:fldCharType="separate"/>
      </w:r>
      <w:r>
        <w:rPr>
          <w:rFonts w:hint="eastAsia" w:ascii="仿宋_GB2312" w:hAnsi="仿宋_GB2312" w:eastAsia="仿宋_GB2312" w:cs="仿宋_GB2312"/>
          <w:sz w:val="24"/>
        </w:rPr>
        <w:t>二、机构设置</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_Toc17313 </w:instrText>
      </w:r>
      <w:r>
        <w:rPr>
          <w:rFonts w:hint="eastAsia" w:ascii="仿宋_GB2312" w:hAnsi="仿宋_GB2312" w:eastAsia="仿宋_GB2312" w:cs="仿宋_GB2312"/>
          <w:sz w:val="24"/>
        </w:rPr>
        <w:fldChar w:fldCharType="separate"/>
      </w:r>
      <w:r>
        <w:rPr>
          <w:rFonts w:ascii="仿宋_GB2312" w:hAnsi="仿宋_GB2312" w:eastAsia="仿宋_GB2312" w:cs="仿宋_GB2312"/>
          <w:sz w:val="24"/>
        </w:rPr>
        <w:t>- 10 -</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pPr>
        <w:pStyle w:val="12"/>
        <w:tabs>
          <w:tab w:val="right" w:leader="dot" w:pos="8845"/>
          <w:tab w:val="clear" w:pos="8296"/>
        </w:tabs>
        <w:spacing w:line="560" w:lineRule="exact"/>
        <w:jc w:val="left"/>
      </w:pPr>
      <w:r>
        <w:fldChar w:fldCharType="begin"/>
      </w:r>
      <w:r>
        <w:instrText xml:space="preserve"> HYPERLINK \l "_Toc2947" </w:instrText>
      </w:r>
      <w:r>
        <w:fldChar w:fldCharType="separate"/>
      </w:r>
      <w:r>
        <w:rPr>
          <w:rFonts w:hint="eastAsia"/>
        </w:rPr>
        <w:t>第二部分2018年度部门决算情况说明</w:t>
      </w:r>
      <w:r>
        <w:rPr>
          <w:rFonts w:hint="eastAsia"/>
        </w:rPr>
        <w:tab/>
      </w:r>
      <w:r>
        <w:rPr>
          <w:rFonts w:hint="eastAsia"/>
        </w:rPr>
        <w:fldChar w:fldCharType="begin"/>
      </w:r>
      <w:r>
        <w:rPr>
          <w:rFonts w:hint="eastAsia"/>
        </w:rPr>
        <w:instrText xml:space="preserve"> PAGEREF _Toc2947 </w:instrText>
      </w:r>
      <w:r>
        <w:rPr>
          <w:rFonts w:hint="eastAsia"/>
        </w:rPr>
        <w:fldChar w:fldCharType="separate"/>
      </w:r>
      <w:r>
        <w:t>- 11 -</w:t>
      </w:r>
      <w:r>
        <w:rPr>
          <w:rFonts w:hint="eastAsia"/>
        </w:rPr>
        <w:fldChar w:fldCharType="end"/>
      </w:r>
      <w:r>
        <w:rPr>
          <w:rFonts w:hint="eastAsia"/>
        </w:rPr>
        <w:fldChar w:fldCharType="end"/>
      </w:r>
    </w:p>
    <w:p>
      <w:pPr>
        <w:pStyle w:val="12"/>
        <w:tabs>
          <w:tab w:val="right" w:leader="dot" w:pos="8845"/>
          <w:tab w:val="clear" w:pos="8296"/>
        </w:tabs>
        <w:spacing w:line="560" w:lineRule="exact"/>
        <w:jc w:val="left"/>
      </w:pPr>
      <w:r>
        <w:fldChar w:fldCharType="begin"/>
      </w:r>
      <w:r>
        <w:instrText xml:space="preserve"> HYPERLINK \l "_Toc16351" </w:instrText>
      </w:r>
      <w:r>
        <w:fldChar w:fldCharType="separate"/>
      </w:r>
      <w:r>
        <w:t xml:space="preserve">一、 </w:t>
      </w:r>
      <w:r>
        <w:rPr>
          <w:rFonts w:hint="eastAsia"/>
        </w:rPr>
        <w:t>收入支出决算总体情况说明</w:t>
      </w:r>
      <w:r>
        <w:rPr>
          <w:rFonts w:hint="eastAsia"/>
        </w:rPr>
        <w:tab/>
      </w:r>
      <w:r>
        <w:rPr>
          <w:rFonts w:hint="eastAsia"/>
        </w:rPr>
        <w:fldChar w:fldCharType="begin"/>
      </w:r>
      <w:r>
        <w:rPr>
          <w:rFonts w:hint="eastAsia"/>
        </w:rPr>
        <w:instrText xml:space="preserve"> PAGEREF _Toc16351 </w:instrText>
      </w:r>
      <w:r>
        <w:rPr>
          <w:rFonts w:hint="eastAsia"/>
        </w:rPr>
        <w:fldChar w:fldCharType="separate"/>
      </w:r>
      <w:r>
        <w:t>- 11 -</w:t>
      </w:r>
      <w:r>
        <w:rPr>
          <w:rFonts w:hint="eastAsia"/>
        </w:rPr>
        <w:fldChar w:fldCharType="end"/>
      </w:r>
      <w:r>
        <w:rPr>
          <w:rFonts w:hint="eastAsia"/>
        </w:rPr>
        <w:fldChar w:fldCharType="end"/>
      </w:r>
    </w:p>
    <w:p>
      <w:pPr>
        <w:pStyle w:val="12"/>
        <w:tabs>
          <w:tab w:val="right" w:leader="dot" w:pos="8845"/>
          <w:tab w:val="clear" w:pos="8296"/>
        </w:tabs>
        <w:spacing w:line="560" w:lineRule="exact"/>
        <w:jc w:val="left"/>
      </w:pPr>
      <w:r>
        <w:fldChar w:fldCharType="begin"/>
      </w:r>
      <w:r>
        <w:instrText xml:space="preserve"> HYPERLINK \l "_Toc3761" </w:instrText>
      </w:r>
      <w:r>
        <w:fldChar w:fldCharType="separate"/>
      </w:r>
      <w:r>
        <w:t xml:space="preserve">二、 </w:t>
      </w:r>
      <w:r>
        <w:rPr>
          <w:rFonts w:hint="eastAsia"/>
        </w:rPr>
        <w:t>收入决算情况说明</w:t>
      </w:r>
      <w:r>
        <w:rPr>
          <w:rFonts w:hint="eastAsia"/>
        </w:rPr>
        <w:tab/>
      </w:r>
      <w:r>
        <w:rPr>
          <w:rFonts w:hint="eastAsia"/>
        </w:rPr>
        <w:fldChar w:fldCharType="begin"/>
      </w:r>
      <w:r>
        <w:rPr>
          <w:rFonts w:hint="eastAsia"/>
        </w:rPr>
        <w:instrText xml:space="preserve"> PAGEREF _Toc3761 </w:instrText>
      </w:r>
      <w:r>
        <w:rPr>
          <w:rFonts w:hint="eastAsia"/>
        </w:rPr>
        <w:fldChar w:fldCharType="separate"/>
      </w:r>
      <w:r>
        <w:t>- 11 -</w:t>
      </w:r>
      <w:r>
        <w:rPr>
          <w:rFonts w:hint="eastAsia"/>
        </w:rPr>
        <w:fldChar w:fldCharType="end"/>
      </w:r>
      <w:r>
        <w:rPr>
          <w:rFonts w:hint="eastAsia"/>
        </w:rPr>
        <w:fldChar w:fldCharType="end"/>
      </w:r>
    </w:p>
    <w:p>
      <w:pPr>
        <w:pStyle w:val="12"/>
        <w:tabs>
          <w:tab w:val="right" w:leader="dot" w:pos="8845"/>
          <w:tab w:val="clear" w:pos="8296"/>
        </w:tabs>
        <w:spacing w:line="560" w:lineRule="exact"/>
        <w:jc w:val="left"/>
      </w:pPr>
      <w:r>
        <w:fldChar w:fldCharType="begin"/>
      </w:r>
      <w:r>
        <w:instrText xml:space="preserve"> HYPERLINK \l "_Toc28346" </w:instrText>
      </w:r>
      <w:r>
        <w:fldChar w:fldCharType="separate"/>
      </w:r>
      <w:r>
        <w:t xml:space="preserve">三、 </w:t>
      </w:r>
      <w:r>
        <w:rPr>
          <w:rFonts w:hint="eastAsia"/>
        </w:rPr>
        <w:t>支出决算情况说明</w:t>
      </w:r>
      <w:r>
        <w:rPr>
          <w:rFonts w:hint="eastAsia"/>
        </w:rPr>
        <w:tab/>
      </w:r>
      <w:r>
        <w:rPr>
          <w:rFonts w:hint="eastAsia"/>
        </w:rPr>
        <w:fldChar w:fldCharType="begin"/>
      </w:r>
      <w:r>
        <w:rPr>
          <w:rFonts w:hint="eastAsia"/>
        </w:rPr>
        <w:instrText xml:space="preserve"> PAGEREF _Toc28346 </w:instrText>
      </w:r>
      <w:r>
        <w:rPr>
          <w:rFonts w:hint="eastAsia"/>
        </w:rPr>
        <w:fldChar w:fldCharType="separate"/>
      </w:r>
      <w:r>
        <w:t>- 12 -</w:t>
      </w:r>
      <w:r>
        <w:rPr>
          <w:rFonts w:hint="eastAsia"/>
        </w:rPr>
        <w:fldChar w:fldCharType="end"/>
      </w:r>
      <w:r>
        <w:rPr>
          <w:rFonts w:hint="eastAsia"/>
        </w:rPr>
        <w:fldChar w:fldCharType="end"/>
      </w:r>
    </w:p>
    <w:p>
      <w:pPr>
        <w:pStyle w:val="12"/>
        <w:tabs>
          <w:tab w:val="right" w:leader="dot" w:pos="8845"/>
          <w:tab w:val="clear" w:pos="8296"/>
        </w:tabs>
        <w:spacing w:line="560" w:lineRule="exact"/>
        <w:jc w:val="left"/>
      </w:pPr>
      <w:r>
        <w:fldChar w:fldCharType="begin"/>
      </w:r>
      <w:r>
        <w:instrText xml:space="preserve"> HYPERLINK \l "_Toc30871" </w:instrText>
      </w:r>
      <w:r>
        <w:fldChar w:fldCharType="separate"/>
      </w:r>
      <w:r>
        <w:rPr>
          <w:rFonts w:hint="eastAsia"/>
        </w:rPr>
        <w:t>四、财政拨款收入支出决算总体情况说明</w:t>
      </w:r>
      <w:r>
        <w:rPr>
          <w:rFonts w:hint="eastAsia"/>
        </w:rPr>
        <w:tab/>
      </w:r>
      <w:r>
        <w:rPr>
          <w:rFonts w:hint="eastAsia"/>
        </w:rPr>
        <w:fldChar w:fldCharType="begin"/>
      </w:r>
      <w:r>
        <w:rPr>
          <w:rFonts w:hint="eastAsia"/>
        </w:rPr>
        <w:instrText xml:space="preserve"> PAGEREF _Toc30871 </w:instrText>
      </w:r>
      <w:r>
        <w:rPr>
          <w:rFonts w:hint="eastAsia"/>
        </w:rPr>
        <w:fldChar w:fldCharType="separate"/>
      </w:r>
      <w:r>
        <w:t>- 12 -</w:t>
      </w:r>
      <w:r>
        <w:rPr>
          <w:rFonts w:hint="eastAsia"/>
        </w:rPr>
        <w:fldChar w:fldCharType="end"/>
      </w:r>
      <w:r>
        <w:rPr>
          <w:rFonts w:hint="eastAsia"/>
        </w:rPr>
        <w:fldChar w:fldCharType="end"/>
      </w:r>
    </w:p>
    <w:p>
      <w:pPr>
        <w:pStyle w:val="12"/>
        <w:tabs>
          <w:tab w:val="right" w:leader="dot" w:pos="8845"/>
          <w:tab w:val="clear" w:pos="8296"/>
        </w:tabs>
        <w:spacing w:line="560" w:lineRule="exact"/>
        <w:jc w:val="left"/>
      </w:pPr>
      <w:r>
        <w:fldChar w:fldCharType="begin"/>
      </w:r>
      <w:r>
        <w:instrText xml:space="preserve"> HYPERLINK \l "_Toc28356" </w:instrText>
      </w:r>
      <w:r>
        <w:fldChar w:fldCharType="separate"/>
      </w:r>
      <w:r>
        <w:rPr>
          <w:rFonts w:hint="eastAsia"/>
        </w:rPr>
        <w:t>五、一般公共预算财政拨款支出决算情况说明</w:t>
      </w:r>
      <w:r>
        <w:rPr>
          <w:rFonts w:hint="eastAsia"/>
        </w:rPr>
        <w:tab/>
      </w:r>
      <w:r>
        <w:rPr>
          <w:rFonts w:hint="eastAsia"/>
        </w:rPr>
        <w:fldChar w:fldCharType="begin"/>
      </w:r>
      <w:r>
        <w:rPr>
          <w:rFonts w:hint="eastAsia"/>
        </w:rPr>
        <w:instrText xml:space="preserve"> PAGEREF _Toc28356 </w:instrText>
      </w:r>
      <w:r>
        <w:rPr>
          <w:rFonts w:hint="eastAsia"/>
        </w:rPr>
        <w:fldChar w:fldCharType="separate"/>
      </w:r>
      <w:r>
        <w:t>- 13 -</w:t>
      </w:r>
      <w:r>
        <w:rPr>
          <w:rFonts w:hint="eastAsia"/>
        </w:rPr>
        <w:fldChar w:fldCharType="end"/>
      </w:r>
      <w:r>
        <w:rPr>
          <w:rFonts w:hint="eastAsia"/>
        </w:rPr>
        <w:fldChar w:fldCharType="end"/>
      </w:r>
    </w:p>
    <w:p>
      <w:pPr>
        <w:pStyle w:val="12"/>
        <w:tabs>
          <w:tab w:val="right" w:leader="dot" w:pos="8845"/>
          <w:tab w:val="clear" w:pos="8296"/>
        </w:tabs>
        <w:spacing w:line="560" w:lineRule="exact"/>
        <w:jc w:val="left"/>
      </w:pPr>
      <w:r>
        <w:fldChar w:fldCharType="begin"/>
      </w:r>
      <w:r>
        <w:instrText xml:space="preserve"> HYPERLINK \l "_Toc23517" </w:instrText>
      </w:r>
      <w:r>
        <w:fldChar w:fldCharType="separate"/>
      </w:r>
      <w:r>
        <w:rPr>
          <w:rFonts w:hint="eastAsia"/>
        </w:rPr>
        <w:t>六、一般公共预算财政拨款基本支出决算情况说明</w:t>
      </w:r>
      <w:r>
        <w:rPr>
          <w:rFonts w:hint="eastAsia"/>
        </w:rPr>
        <w:tab/>
      </w:r>
      <w:r>
        <w:rPr>
          <w:rFonts w:hint="eastAsia"/>
        </w:rPr>
        <w:fldChar w:fldCharType="begin"/>
      </w:r>
      <w:r>
        <w:rPr>
          <w:rFonts w:hint="eastAsia"/>
        </w:rPr>
        <w:instrText xml:space="preserve"> PAGEREF _Toc23517 </w:instrText>
      </w:r>
      <w:r>
        <w:rPr>
          <w:rFonts w:hint="eastAsia"/>
        </w:rPr>
        <w:fldChar w:fldCharType="separate"/>
      </w:r>
      <w:r>
        <w:t>- 16 -</w:t>
      </w:r>
      <w:r>
        <w:rPr>
          <w:rFonts w:hint="eastAsia"/>
        </w:rPr>
        <w:fldChar w:fldCharType="end"/>
      </w:r>
      <w:r>
        <w:rPr>
          <w:rFonts w:hint="eastAsia"/>
        </w:rPr>
        <w:fldChar w:fldCharType="end"/>
      </w:r>
    </w:p>
    <w:p>
      <w:pPr>
        <w:pStyle w:val="12"/>
        <w:tabs>
          <w:tab w:val="right" w:leader="dot" w:pos="8845"/>
          <w:tab w:val="clear" w:pos="8296"/>
        </w:tabs>
        <w:spacing w:line="560" w:lineRule="exact"/>
        <w:jc w:val="left"/>
      </w:pPr>
      <w:r>
        <w:fldChar w:fldCharType="begin"/>
      </w:r>
      <w:r>
        <w:instrText xml:space="preserve"> HYPERLINK \l "_Toc17640" </w:instrText>
      </w:r>
      <w:r>
        <w:fldChar w:fldCharType="separate"/>
      </w:r>
      <w:r>
        <w:rPr>
          <w:rFonts w:hint="eastAsia"/>
        </w:rPr>
        <w:t>七、“三公”经费财政拨款支出决算情况说明</w:t>
      </w:r>
      <w:r>
        <w:rPr>
          <w:rFonts w:hint="eastAsia"/>
        </w:rPr>
        <w:tab/>
      </w:r>
      <w:r>
        <w:rPr>
          <w:rFonts w:hint="eastAsia"/>
        </w:rPr>
        <w:fldChar w:fldCharType="begin"/>
      </w:r>
      <w:r>
        <w:rPr>
          <w:rFonts w:hint="eastAsia"/>
        </w:rPr>
        <w:instrText xml:space="preserve"> PAGEREF _Toc17640 </w:instrText>
      </w:r>
      <w:r>
        <w:rPr>
          <w:rFonts w:hint="eastAsia"/>
        </w:rPr>
        <w:fldChar w:fldCharType="separate"/>
      </w:r>
      <w:r>
        <w:t>- 17 -</w:t>
      </w:r>
      <w:r>
        <w:rPr>
          <w:rFonts w:hint="eastAsia"/>
        </w:rPr>
        <w:fldChar w:fldCharType="end"/>
      </w:r>
      <w:r>
        <w:rPr>
          <w:rFonts w:hint="eastAsia"/>
        </w:rPr>
        <w:fldChar w:fldCharType="end"/>
      </w:r>
    </w:p>
    <w:p>
      <w:pPr>
        <w:pStyle w:val="12"/>
        <w:tabs>
          <w:tab w:val="right" w:leader="dot" w:pos="8845"/>
          <w:tab w:val="clear" w:pos="8296"/>
        </w:tabs>
        <w:spacing w:line="560" w:lineRule="exact"/>
        <w:jc w:val="left"/>
      </w:pPr>
      <w:r>
        <w:fldChar w:fldCharType="begin"/>
      </w:r>
      <w:r>
        <w:instrText xml:space="preserve"> HYPERLINK \l "_Toc8450" </w:instrText>
      </w:r>
      <w:r>
        <w:fldChar w:fldCharType="separate"/>
      </w:r>
      <w:r>
        <w:rPr>
          <w:rFonts w:hint="eastAsia"/>
        </w:rPr>
        <w:t>八、政府性基金预算支出决算情况说明</w:t>
      </w:r>
      <w:r>
        <w:rPr>
          <w:rFonts w:hint="eastAsia"/>
        </w:rPr>
        <w:tab/>
      </w:r>
      <w:r>
        <w:rPr>
          <w:rFonts w:hint="eastAsia"/>
        </w:rPr>
        <w:fldChar w:fldCharType="begin"/>
      </w:r>
      <w:r>
        <w:rPr>
          <w:rFonts w:hint="eastAsia"/>
        </w:rPr>
        <w:instrText xml:space="preserve"> PAGEREF _Toc8450 </w:instrText>
      </w:r>
      <w:r>
        <w:rPr>
          <w:rFonts w:hint="eastAsia"/>
        </w:rPr>
        <w:fldChar w:fldCharType="separate"/>
      </w:r>
      <w:r>
        <w:t>- 18 -</w:t>
      </w:r>
      <w:r>
        <w:rPr>
          <w:rFonts w:hint="eastAsia"/>
        </w:rPr>
        <w:fldChar w:fldCharType="end"/>
      </w:r>
      <w:r>
        <w:rPr>
          <w:rFonts w:hint="eastAsia"/>
        </w:rPr>
        <w:fldChar w:fldCharType="end"/>
      </w:r>
    </w:p>
    <w:p>
      <w:pPr>
        <w:pStyle w:val="12"/>
        <w:tabs>
          <w:tab w:val="right" w:leader="dot" w:pos="8845"/>
          <w:tab w:val="clear" w:pos="8296"/>
        </w:tabs>
        <w:spacing w:line="560" w:lineRule="exact"/>
        <w:jc w:val="left"/>
      </w:pPr>
      <w:r>
        <w:fldChar w:fldCharType="begin"/>
      </w:r>
      <w:r>
        <w:instrText xml:space="preserve"> HYPERLINK \l "_Toc14328" </w:instrText>
      </w:r>
      <w:r>
        <w:fldChar w:fldCharType="separate"/>
      </w:r>
      <w:r>
        <w:rPr>
          <w:rFonts w:hint="eastAsia"/>
        </w:rPr>
        <w:t>九、 国有资本经营预算支出决算情况说明</w:t>
      </w:r>
      <w:r>
        <w:rPr>
          <w:rFonts w:hint="eastAsia"/>
        </w:rPr>
        <w:tab/>
      </w:r>
      <w:r>
        <w:rPr>
          <w:rFonts w:hint="eastAsia"/>
        </w:rPr>
        <w:fldChar w:fldCharType="begin"/>
      </w:r>
      <w:r>
        <w:rPr>
          <w:rFonts w:hint="eastAsia"/>
        </w:rPr>
        <w:instrText xml:space="preserve"> PAGEREF _Toc14328 </w:instrText>
      </w:r>
      <w:r>
        <w:rPr>
          <w:rFonts w:hint="eastAsia"/>
        </w:rPr>
        <w:fldChar w:fldCharType="separate"/>
      </w:r>
      <w:r>
        <w:t>- 18 -</w:t>
      </w:r>
      <w:r>
        <w:rPr>
          <w:rFonts w:hint="eastAsia"/>
        </w:rPr>
        <w:fldChar w:fldCharType="end"/>
      </w:r>
      <w:r>
        <w:rPr>
          <w:rFonts w:hint="eastAsia"/>
        </w:rPr>
        <w:fldChar w:fldCharType="end"/>
      </w:r>
    </w:p>
    <w:p>
      <w:pPr>
        <w:pStyle w:val="12"/>
        <w:tabs>
          <w:tab w:val="right" w:leader="dot" w:pos="8845"/>
          <w:tab w:val="clear" w:pos="8296"/>
        </w:tabs>
        <w:spacing w:line="560" w:lineRule="exact"/>
        <w:jc w:val="left"/>
      </w:pPr>
      <w:r>
        <w:fldChar w:fldCharType="begin"/>
      </w:r>
      <w:r>
        <w:instrText xml:space="preserve"> HYPERLINK \l "_Toc19653" </w:instrText>
      </w:r>
      <w:r>
        <w:fldChar w:fldCharType="separate"/>
      </w:r>
      <w:r>
        <w:t xml:space="preserve">十、 </w:t>
      </w:r>
      <w:r>
        <w:rPr>
          <w:rFonts w:hint="eastAsia"/>
        </w:rPr>
        <w:t>预算绩效情况说明</w:t>
      </w:r>
      <w:r>
        <w:rPr>
          <w:rFonts w:hint="eastAsia"/>
        </w:rPr>
        <w:tab/>
      </w:r>
      <w:r>
        <w:rPr>
          <w:rFonts w:hint="eastAsia"/>
        </w:rPr>
        <w:fldChar w:fldCharType="begin"/>
      </w:r>
      <w:r>
        <w:rPr>
          <w:rFonts w:hint="eastAsia"/>
        </w:rPr>
        <w:instrText xml:space="preserve"> PAGEREF _Toc19653 </w:instrText>
      </w:r>
      <w:r>
        <w:rPr>
          <w:rFonts w:hint="eastAsia"/>
        </w:rPr>
        <w:fldChar w:fldCharType="separate"/>
      </w:r>
      <w:r>
        <w:t>- 18 -</w:t>
      </w:r>
      <w:r>
        <w:rPr>
          <w:rFonts w:hint="eastAsia"/>
        </w:rPr>
        <w:fldChar w:fldCharType="end"/>
      </w:r>
      <w:r>
        <w:rPr>
          <w:rFonts w:hint="eastAsia"/>
        </w:rPr>
        <w:fldChar w:fldCharType="end"/>
      </w:r>
    </w:p>
    <w:p>
      <w:pPr>
        <w:pStyle w:val="12"/>
        <w:tabs>
          <w:tab w:val="right" w:leader="dot" w:pos="8845"/>
          <w:tab w:val="clear" w:pos="8296"/>
        </w:tabs>
        <w:spacing w:line="560" w:lineRule="exact"/>
        <w:jc w:val="left"/>
      </w:pPr>
      <w:r>
        <w:fldChar w:fldCharType="begin"/>
      </w:r>
      <w:r>
        <w:instrText xml:space="preserve"> HYPERLINK \l "_Toc20734" </w:instrText>
      </w:r>
      <w:r>
        <w:fldChar w:fldCharType="separate"/>
      </w:r>
      <w:r>
        <w:rPr>
          <w:rFonts w:hint="eastAsia"/>
        </w:rPr>
        <w:t>十一、其他重要事项的情况说明</w:t>
      </w:r>
      <w:r>
        <w:rPr>
          <w:rFonts w:hint="eastAsia"/>
        </w:rPr>
        <w:tab/>
      </w:r>
      <w:r>
        <w:rPr>
          <w:rFonts w:hint="eastAsia"/>
        </w:rPr>
        <w:fldChar w:fldCharType="begin"/>
      </w:r>
      <w:r>
        <w:rPr>
          <w:rFonts w:hint="eastAsia"/>
        </w:rPr>
        <w:instrText xml:space="preserve"> PAGEREF _Toc20734 </w:instrText>
      </w:r>
      <w:r>
        <w:rPr>
          <w:rFonts w:hint="eastAsia"/>
        </w:rPr>
        <w:fldChar w:fldCharType="separate"/>
      </w:r>
      <w:r>
        <w:t>- 22 -</w:t>
      </w:r>
      <w:r>
        <w:rPr>
          <w:rFonts w:hint="eastAsia"/>
        </w:rPr>
        <w:fldChar w:fldCharType="end"/>
      </w:r>
      <w:r>
        <w:rPr>
          <w:rFonts w:hint="eastAsia"/>
        </w:rPr>
        <w:fldChar w:fldCharType="end"/>
      </w:r>
    </w:p>
    <w:p>
      <w:pPr>
        <w:pStyle w:val="12"/>
        <w:tabs>
          <w:tab w:val="right" w:leader="dot" w:pos="8845"/>
          <w:tab w:val="clear" w:pos="8296"/>
        </w:tabs>
        <w:spacing w:line="560" w:lineRule="exact"/>
        <w:rPr>
          <w:rFonts w:ascii="仿宋_GB2312" w:hAnsi="仿宋_GB2312" w:eastAsia="仿宋_GB2312" w:cs="仿宋_GB2312"/>
        </w:rPr>
      </w:pPr>
      <w:r>
        <w:fldChar w:fldCharType="begin"/>
      </w:r>
      <w:r>
        <w:instrText xml:space="preserve"> HYPERLINK \l "_Toc19812" </w:instrText>
      </w:r>
      <w:r>
        <w:fldChar w:fldCharType="separate"/>
      </w:r>
      <w:r>
        <w:rPr>
          <w:rFonts w:hint="eastAsia" w:ascii="仿宋_GB2312" w:hAnsi="仿宋_GB2312" w:eastAsia="仿宋_GB2312" w:cs="仿宋_GB2312"/>
        </w:rPr>
        <w:t>第三部分 名词解释</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_Toc19812 </w:instrText>
      </w:r>
      <w:r>
        <w:rPr>
          <w:rFonts w:hint="eastAsia" w:ascii="仿宋_GB2312" w:hAnsi="仿宋_GB2312" w:eastAsia="仿宋_GB2312" w:cs="仿宋_GB2312"/>
        </w:rPr>
        <w:fldChar w:fldCharType="separate"/>
      </w:r>
      <w:r>
        <w:rPr>
          <w:rFonts w:ascii="仿宋_GB2312" w:hAnsi="仿宋_GB2312" w:eastAsia="仿宋_GB2312" w:cs="仿宋_GB2312"/>
        </w:rPr>
        <w:t>- 23 -</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2"/>
        <w:tabs>
          <w:tab w:val="right" w:leader="dot" w:pos="8845"/>
          <w:tab w:val="clear" w:pos="8296"/>
        </w:tabs>
        <w:spacing w:line="560" w:lineRule="exact"/>
        <w:rPr>
          <w:rFonts w:ascii="仿宋_GB2312" w:hAnsi="仿宋_GB2312" w:eastAsia="仿宋_GB2312" w:cs="仿宋_GB2312"/>
        </w:rPr>
      </w:pPr>
      <w:r>
        <w:fldChar w:fldCharType="begin"/>
      </w:r>
      <w:r>
        <w:instrText xml:space="preserve"> HYPERLINK \l "_Toc2605" </w:instrText>
      </w:r>
      <w:r>
        <w:fldChar w:fldCharType="separate"/>
      </w:r>
      <w:r>
        <w:rPr>
          <w:rFonts w:hint="eastAsia" w:ascii="仿宋_GB2312" w:hAnsi="仿宋_GB2312" w:eastAsia="仿宋_GB2312" w:cs="仿宋_GB2312"/>
        </w:rPr>
        <w:t>第四部分 附件</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_Toc2605 </w:instrText>
      </w:r>
      <w:r>
        <w:rPr>
          <w:rFonts w:hint="eastAsia" w:ascii="仿宋_GB2312" w:hAnsi="仿宋_GB2312" w:eastAsia="仿宋_GB2312" w:cs="仿宋_GB2312"/>
        </w:rPr>
        <w:fldChar w:fldCharType="separate"/>
      </w:r>
      <w:r>
        <w:rPr>
          <w:rFonts w:ascii="仿宋_GB2312" w:hAnsi="仿宋_GB2312" w:eastAsia="仿宋_GB2312" w:cs="仿宋_GB2312"/>
        </w:rPr>
        <w:t>- 25 -</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2"/>
        <w:tabs>
          <w:tab w:val="right" w:leader="dot" w:pos="8845"/>
          <w:tab w:val="clear" w:pos="8296"/>
        </w:tabs>
        <w:spacing w:line="560" w:lineRule="exact"/>
      </w:pPr>
      <w:r>
        <w:fldChar w:fldCharType="begin"/>
      </w:r>
      <w:r>
        <w:instrText xml:space="preserve"> HYPERLINK \l "_Toc24860" </w:instrText>
      </w:r>
      <w:r>
        <w:fldChar w:fldCharType="separate"/>
      </w:r>
      <w:r>
        <w:rPr>
          <w:rFonts w:hint="eastAsia"/>
        </w:rPr>
        <w:t>第五部分 附表</w:t>
      </w:r>
      <w:r>
        <w:tab/>
      </w:r>
      <w:r>
        <w:fldChar w:fldCharType="begin"/>
      </w:r>
      <w:r>
        <w:instrText xml:space="preserve"> PAGEREF _Toc24860 </w:instrText>
      </w:r>
      <w:r>
        <w:fldChar w:fldCharType="separate"/>
      </w:r>
      <w:r>
        <w:t>- 30 -</w:t>
      </w:r>
      <w:r>
        <w:fldChar w:fldCharType="end"/>
      </w:r>
      <w:r>
        <w:fldChar w:fldCharType="end"/>
      </w:r>
    </w:p>
    <w:p>
      <w:pPr>
        <w:pStyle w:val="12"/>
        <w:tabs>
          <w:tab w:val="right" w:leader="dot" w:pos="8845"/>
          <w:tab w:val="clear" w:pos="8296"/>
        </w:tabs>
        <w:spacing w:line="560" w:lineRule="exact"/>
      </w:pPr>
      <w:r>
        <w:fldChar w:fldCharType="begin"/>
      </w:r>
      <w:r>
        <w:instrText xml:space="preserve"> HYPERLINK \l "_Toc20231" </w:instrText>
      </w:r>
      <w:r>
        <w:fldChar w:fldCharType="separate"/>
      </w:r>
      <w:r>
        <w:rPr>
          <w:rFonts w:hint="eastAsia"/>
        </w:rPr>
        <w:t>一、收入支出决算总表</w:t>
      </w:r>
      <w:r>
        <w:tab/>
      </w:r>
      <w:r>
        <w:fldChar w:fldCharType="begin"/>
      </w:r>
      <w:r>
        <w:instrText xml:space="preserve"> PAGEREF _Toc20231 </w:instrText>
      </w:r>
      <w:r>
        <w:fldChar w:fldCharType="separate"/>
      </w:r>
      <w:r>
        <w:t>- 30 -</w:t>
      </w:r>
      <w:r>
        <w:fldChar w:fldCharType="end"/>
      </w:r>
      <w:r>
        <w:fldChar w:fldCharType="end"/>
      </w:r>
    </w:p>
    <w:p>
      <w:pPr>
        <w:pStyle w:val="12"/>
        <w:tabs>
          <w:tab w:val="right" w:leader="dot" w:pos="8845"/>
          <w:tab w:val="clear" w:pos="8296"/>
        </w:tabs>
        <w:spacing w:line="560" w:lineRule="exact"/>
      </w:pPr>
      <w:r>
        <w:fldChar w:fldCharType="begin"/>
      </w:r>
      <w:r>
        <w:instrText xml:space="preserve"> HYPERLINK \l "_Toc1680" </w:instrText>
      </w:r>
      <w:r>
        <w:fldChar w:fldCharType="separate"/>
      </w:r>
      <w:r>
        <w:rPr>
          <w:rFonts w:hint="eastAsia"/>
        </w:rPr>
        <w:t>二、收入总表</w:t>
      </w:r>
      <w:r>
        <w:tab/>
      </w:r>
      <w:r>
        <w:fldChar w:fldCharType="begin"/>
      </w:r>
      <w:r>
        <w:instrText xml:space="preserve"> PAGEREF _Toc1680 </w:instrText>
      </w:r>
      <w:r>
        <w:fldChar w:fldCharType="separate"/>
      </w:r>
      <w:r>
        <w:t>- 30 -</w:t>
      </w:r>
      <w:r>
        <w:fldChar w:fldCharType="end"/>
      </w:r>
      <w:r>
        <w:fldChar w:fldCharType="end"/>
      </w:r>
    </w:p>
    <w:p>
      <w:pPr>
        <w:pStyle w:val="12"/>
        <w:tabs>
          <w:tab w:val="right" w:leader="dot" w:pos="8845"/>
          <w:tab w:val="clear" w:pos="8296"/>
        </w:tabs>
        <w:spacing w:line="560" w:lineRule="exact"/>
      </w:pPr>
      <w:r>
        <w:fldChar w:fldCharType="begin"/>
      </w:r>
      <w:r>
        <w:instrText xml:space="preserve"> HYPERLINK \l "_Toc22411" </w:instrText>
      </w:r>
      <w:r>
        <w:fldChar w:fldCharType="separate"/>
      </w:r>
      <w:r>
        <w:rPr>
          <w:rFonts w:hint="eastAsia"/>
        </w:rPr>
        <w:t>三、支出总表</w:t>
      </w:r>
      <w:r>
        <w:tab/>
      </w:r>
      <w:r>
        <w:fldChar w:fldCharType="begin"/>
      </w:r>
      <w:r>
        <w:instrText xml:space="preserve"> PAGEREF _Toc22411 </w:instrText>
      </w:r>
      <w:r>
        <w:fldChar w:fldCharType="separate"/>
      </w:r>
      <w:r>
        <w:t>- 30 -</w:t>
      </w:r>
      <w:r>
        <w:fldChar w:fldCharType="end"/>
      </w:r>
      <w:r>
        <w:fldChar w:fldCharType="end"/>
      </w:r>
    </w:p>
    <w:p>
      <w:pPr>
        <w:pStyle w:val="12"/>
        <w:tabs>
          <w:tab w:val="right" w:leader="dot" w:pos="8845"/>
          <w:tab w:val="clear" w:pos="8296"/>
        </w:tabs>
        <w:spacing w:line="560" w:lineRule="exact"/>
      </w:pPr>
      <w:r>
        <w:fldChar w:fldCharType="begin"/>
      </w:r>
      <w:r>
        <w:instrText xml:space="preserve"> HYPERLINK \l "_Toc19333" </w:instrText>
      </w:r>
      <w:r>
        <w:fldChar w:fldCharType="separate"/>
      </w:r>
      <w:r>
        <w:rPr>
          <w:rFonts w:hint="eastAsia"/>
        </w:rPr>
        <w:t>四、财政拨款收入支出决算总表</w:t>
      </w:r>
      <w:r>
        <w:tab/>
      </w:r>
      <w:r>
        <w:fldChar w:fldCharType="begin"/>
      </w:r>
      <w:r>
        <w:instrText xml:space="preserve"> PAGEREF _Toc19333 </w:instrText>
      </w:r>
      <w:r>
        <w:fldChar w:fldCharType="separate"/>
      </w:r>
      <w:r>
        <w:t>- 30 -</w:t>
      </w:r>
      <w:r>
        <w:fldChar w:fldCharType="end"/>
      </w:r>
      <w:r>
        <w:fldChar w:fldCharType="end"/>
      </w:r>
    </w:p>
    <w:p>
      <w:pPr>
        <w:pStyle w:val="12"/>
        <w:tabs>
          <w:tab w:val="right" w:leader="dot" w:pos="8845"/>
          <w:tab w:val="clear" w:pos="8296"/>
        </w:tabs>
        <w:spacing w:line="560" w:lineRule="exact"/>
      </w:pPr>
      <w:r>
        <w:fldChar w:fldCharType="begin"/>
      </w:r>
      <w:r>
        <w:instrText xml:space="preserve"> HYPERLINK \l "_Toc4556" </w:instrText>
      </w:r>
      <w:r>
        <w:fldChar w:fldCharType="separate"/>
      </w:r>
      <w:r>
        <w:rPr>
          <w:rFonts w:hint="eastAsia"/>
        </w:rPr>
        <w:t>五、财政拨款支出决算明细表（政府经济分类科目）</w:t>
      </w:r>
      <w:r>
        <w:tab/>
      </w:r>
      <w:r>
        <w:fldChar w:fldCharType="begin"/>
      </w:r>
      <w:r>
        <w:instrText xml:space="preserve"> PAGEREF _Toc4556 </w:instrText>
      </w:r>
      <w:r>
        <w:fldChar w:fldCharType="separate"/>
      </w:r>
      <w:r>
        <w:t>- 30 -</w:t>
      </w:r>
      <w:r>
        <w:fldChar w:fldCharType="end"/>
      </w:r>
      <w:r>
        <w:fldChar w:fldCharType="end"/>
      </w:r>
    </w:p>
    <w:p>
      <w:pPr>
        <w:pStyle w:val="12"/>
        <w:tabs>
          <w:tab w:val="right" w:leader="dot" w:pos="8845"/>
          <w:tab w:val="clear" w:pos="8296"/>
        </w:tabs>
        <w:spacing w:line="560" w:lineRule="exact"/>
      </w:pPr>
      <w:r>
        <w:fldChar w:fldCharType="begin"/>
      </w:r>
      <w:r>
        <w:instrText xml:space="preserve"> HYPERLINK \l "_Toc5000" </w:instrText>
      </w:r>
      <w:r>
        <w:fldChar w:fldCharType="separate"/>
      </w:r>
      <w:r>
        <w:rPr>
          <w:rFonts w:hint="eastAsia"/>
        </w:rPr>
        <w:t>六、一般公共预算财政拨款支出决算表</w:t>
      </w:r>
      <w:r>
        <w:tab/>
      </w:r>
      <w:r>
        <w:fldChar w:fldCharType="begin"/>
      </w:r>
      <w:r>
        <w:instrText xml:space="preserve"> PAGEREF _Toc5000 </w:instrText>
      </w:r>
      <w:r>
        <w:fldChar w:fldCharType="separate"/>
      </w:r>
      <w:r>
        <w:t>- 30 -</w:t>
      </w:r>
      <w:r>
        <w:fldChar w:fldCharType="end"/>
      </w:r>
      <w:r>
        <w:fldChar w:fldCharType="end"/>
      </w:r>
    </w:p>
    <w:p>
      <w:pPr>
        <w:pStyle w:val="12"/>
        <w:tabs>
          <w:tab w:val="right" w:leader="dot" w:pos="8845"/>
          <w:tab w:val="clear" w:pos="8296"/>
        </w:tabs>
        <w:spacing w:line="560" w:lineRule="exact"/>
      </w:pPr>
      <w:r>
        <w:fldChar w:fldCharType="begin"/>
      </w:r>
      <w:r>
        <w:instrText xml:space="preserve"> HYPERLINK \l "_Toc7952" </w:instrText>
      </w:r>
      <w:r>
        <w:fldChar w:fldCharType="separate"/>
      </w:r>
      <w:r>
        <w:rPr>
          <w:rFonts w:hint="eastAsia"/>
        </w:rPr>
        <w:t>七、一般公共预算财政拨款支出决算明细表</w:t>
      </w:r>
      <w:r>
        <w:tab/>
      </w:r>
      <w:r>
        <w:fldChar w:fldCharType="begin"/>
      </w:r>
      <w:r>
        <w:instrText xml:space="preserve"> PAGEREF _Toc7952 </w:instrText>
      </w:r>
      <w:r>
        <w:fldChar w:fldCharType="separate"/>
      </w:r>
      <w:r>
        <w:t>- 30 -</w:t>
      </w:r>
      <w:r>
        <w:fldChar w:fldCharType="end"/>
      </w:r>
      <w:r>
        <w:fldChar w:fldCharType="end"/>
      </w:r>
    </w:p>
    <w:p>
      <w:pPr>
        <w:pStyle w:val="12"/>
        <w:tabs>
          <w:tab w:val="right" w:leader="dot" w:pos="8845"/>
          <w:tab w:val="clear" w:pos="8296"/>
        </w:tabs>
        <w:spacing w:line="560" w:lineRule="exact"/>
      </w:pPr>
      <w:r>
        <w:fldChar w:fldCharType="begin"/>
      </w:r>
      <w:r>
        <w:instrText xml:space="preserve"> HYPERLINK \l "_Toc24303" </w:instrText>
      </w:r>
      <w:r>
        <w:fldChar w:fldCharType="separate"/>
      </w:r>
      <w:r>
        <w:rPr>
          <w:rFonts w:hint="eastAsia"/>
        </w:rPr>
        <w:t>八、一般公共预算财政拨款基本支出决算表</w:t>
      </w:r>
      <w:r>
        <w:tab/>
      </w:r>
      <w:r>
        <w:fldChar w:fldCharType="begin"/>
      </w:r>
      <w:r>
        <w:instrText xml:space="preserve"> PAGEREF _Toc24303 </w:instrText>
      </w:r>
      <w:r>
        <w:fldChar w:fldCharType="separate"/>
      </w:r>
      <w:r>
        <w:t>- 30 -</w:t>
      </w:r>
      <w:r>
        <w:fldChar w:fldCharType="end"/>
      </w:r>
      <w:r>
        <w:fldChar w:fldCharType="end"/>
      </w:r>
    </w:p>
    <w:p>
      <w:pPr>
        <w:pStyle w:val="12"/>
        <w:tabs>
          <w:tab w:val="right" w:leader="dot" w:pos="8845"/>
          <w:tab w:val="clear" w:pos="8296"/>
        </w:tabs>
        <w:spacing w:line="560" w:lineRule="exact"/>
      </w:pPr>
      <w:r>
        <w:fldChar w:fldCharType="begin"/>
      </w:r>
      <w:r>
        <w:instrText xml:space="preserve"> HYPERLINK \l "_Toc31196" </w:instrText>
      </w:r>
      <w:r>
        <w:fldChar w:fldCharType="separate"/>
      </w:r>
      <w:r>
        <w:rPr>
          <w:rFonts w:hint="eastAsia"/>
        </w:rPr>
        <w:t>九、一般公共预算财政拨款项目支出决算表</w:t>
      </w:r>
      <w:r>
        <w:tab/>
      </w:r>
      <w:r>
        <w:fldChar w:fldCharType="begin"/>
      </w:r>
      <w:r>
        <w:instrText xml:space="preserve"> PAGEREF _Toc31196 </w:instrText>
      </w:r>
      <w:r>
        <w:fldChar w:fldCharType="separate"/>
      </w:r>
      <w:r>
        <w:t>- 30 -</w:t>
      </w:r>
      <w:r>
        <w:fldChar w:fldCharType="end"/>
      </w:r>
      <w:r>
        <w:fldChar w:fldCharType="end"/>
      </w:r>
    </w:p>
    <w:p>
      <w:pPr>
        <w:pStyle w:val="12"/>
        <w:tabs>
          <w:tab w:val="right" w:leader="dot" w:pos="8845"/>
          <w:tab w:val="clear" w:pos="8296"/>
        </w:tabs>
        <w:spacing w:line="560" w:lineRule="exact"/>
      </w:pPr>
      <w:r>
        <w:fldChar w:fldCharType="begin"/>
      </w:r>
      <w:r>
        <w:instrText xml:space="preserve"> HYPERLINK \l "_Toc21418" </w:instrText>
      </w:r>
      <w:r>
        <w:fldChar w:fldCharType="separate"/>
      </w:r>
      <w:r>
        <w:rPr>
          <w:rFonts w:hint="eastAsia"/>
        </w:rPr>
        <w:t>十、一般公共预算财政拨款“三公”经费支出决算表</w:t>
      </w:r>
      <w:r>
        <w:tab/>
      </w:r>
      <w:r>
        <w:fldChar w:fldCharType="begin"/>
      </w:r>
      <w:r>
        <w:instrText xml:space="preserve"> PAGEREF _Toc21418 </w:instrText>
      </w:r>
      <w:r>
        <w:fldChar w:fldCharType="separate"/>
      </w:r>
      <w:r>
        <w:t>- 30 -</w:t>
      </w:r>
      <w:r>
        <w:fldChar w:fldCharType="end"/>
      </w:r>
      <w:r>
        <w:fldChar w:fldCharType="end"/>
      </w:r>
    </w:p>
    <w:p>
      <w:pPr>
        <w:pStyle w:val="12"/>
        <w:tabs>
          <w:tab w:val="right" w:leader="dot" w:pos="8845"/>
          <w:tab w:val="clear" w:pos="8296"/>
        </w:tabs>
        <w:spacing w:line="560" w:lineRule="exact"/>
      </w:pPr>
      <w:r>
        <w:fldChar w:fldCharType="begin"/>
      </w:r>
      <w:r>
        <w:instrText xml:space="preserve"> HYPERLINK \l "_Toc22510" </w:instrText>
      </w:r>
      <w:r>
        <w:fldChar w:fldCharType="separate"/>
      </w:r>
      <w:r>
        <w:rPr>
          <w:rFonts w:hint="eastAsia"/>
        </w:rPr>
        <w:t>十一、政府性基金预算财政拨款收入支出决算表</w:t>
      </w:r>
      <w:r>
        <w:tab/>
      </w:r>
      <w:r>
        <w:fldChar w:fldCharType="begin"/>
      </w:r>
      <w:r>
        <w:instrText xml:space="preserve"> PAGEREF _Toc22510 </w:instrText>
      </w:r>
      <w:r>
        <w:fldChar w:fldCharType="separate"/>
      </w:r>
      <w:r>
        <w:t>- 30 -</w:t>
      </w:r>
      <w:r>
        <w:fldChar w:fldCharType="end"/>
      </w:r>
      <w:r>
        <w:fldChar w:fldCharType="end"/>
      </w:r>
    </w:p>
    <w:p>
      <w:pPr>
        <w:pStyle w:val="12"/>
        <w:tabs>
          <w:tab w:val="right" w:leader="dot" w:pos="8845"/>
          <w:tab w:val="clear" w:pos="8296"/>
        </w:tabs>
        <w:spacing w:line="560" w:lineRule="exact"/>
      </w:pPr>
      <w:r>
        <w:fldChar w:fldCharType="begin"/>
      </w:r>
      <w:r>
        <w:instrText xml:space="preserve"> HYPERLINK \l "_Toc8645" </w:instrText>
      </w:r>
      <w:r>
        <w:fldChar w:fldCharType="separate"/>
      </w:r>
      <w:r>
        <w:rPr>
          <w:rFonts w:hint="eastAsia"/>
        </w:rPr>
        <w:t>十二、政府性基金预算财政拨款“三公”经费支出决算表</w:t>
      </w:r>
      <w:r>
        <w:tab/>
      </w:r>
      <w:r>
        <w:fldChar w:fldCharType="begin"/>
      </w:r>
      <w:r>
        <w:instrText xml:space="preserve"> PAGEREF _Toc8645 </w:instrText>
      </w:r>
      <w:r>
        <w:fldChar w:fldCharType="separate"/>
      </w:r>
      <w:r>
        <w:t>- 30 -</w:t>
      </w:r>
      <w:r>
        <w:fldChar w:fldCharType="end"/>
      </w:r>
      <w:r>
        <w:fldChar w:fldCharType="end"/>
      </w:r>
    </w:p>
    <w:p>
      <w:pPr>
        <w:pStyle w:val="12"/>
        <w:tabs>
          <w:tab w:val="right" w:leader="dot" w:pos="8845"/>
          <w:tab w:val="clear" w:pos="8296"/>
        </w:tabs>
        <w:spacing w:line="560" w:lineRule="exact"/>
      </w:pPr>
      <w:r>
        <w:fldChar w:fldCharType="begin"/>
      </w:r>
      <w:r>
        <w:instrText xml:space="preserve"> HYPERLINK \l "_Toc23881" </w:instrText>
      </w:r>
      <w:r>
        <w:fldChar w:fldCharType="separate"/>
      </w:r>
      <w:r>
        <w:rPr>
          <w:rFonts w:hint="eastAsia"/>
        </w:rPr>
        <w:t>十三、国有资本经营预算支出决算表</w:t>
      </w:r>
      <w:r>
        <w:tab/>
      </w:r>
      <w:r>
        <w:fldChar w:fldCharType="begin"/>
      </w:r>
      <w:r>
        <w:instrText xml:space="preserve"> PAGEREF _Toc23881 </w:instrText>
      </w:r>
      <w:r>
        <w:fldChar w:fldCharType="separate"/>
      </w:r>
      <w:r>
        <w:t>- 30 -</w:t>
      </w:r>
      <w:r>
        <w:fldChar w:fldCharType="end"/>
      </w:r>
      <w:r>
        <w:fldChar w:fldCharType="end"/>
      </w:r>
    </w:p>
    <w:p>
      <w:pPr>
        <w:spacing w:line="560" w:lineRule="exact"/>
      </w:pPr>
      <w:r>
        <w:fldChar w:fldCharType="end"/>
      </w:r>
    </w:p>
    <w:p>
      <w:pPr>
        <w:pStyle w:val="4"/>
        <w:spacing w:line="600" w:lineRule="exact"/>
        <w:jc w:val="center"/>
        <w:rPr>
          <w:rStyle w:val="27"/>
          <w:rFonts w:ascii="黑体" w:hAnsi="黑体" w:eastAsia="黑体"/>
          <w:b/>
          <w:bCs w:val="0"/>
        </w:rPr>
      </w:pPr>
      <w:bookmarkStart w:id="19" w:name="_Toc20592"/>
      <w:r>
        <w:rPr>
          <w:rFonts w:hint="eastAsia" w:ascii="黑体" w:hAnsi="黑体" w:eastAsia="黑体"/>
          <w:b w:val="0"/>
        </w:rPr>
        <w:t xml:space="preserve">第一部分 </w:t>
      </w:r>
      <w:r>
        <w:rPr>
          <w:rStyle w:val="27"/>
          <w:rFonts w:hint="eastAsia" w:ascii="黑体" w:hAnsi="黑体" w:eastAsia="黑体"/>
          <w:b w:val="0"/>
          <w:bCs w:val="0"/>
        </w:rPr>
        <w:t>部门概况</w:t>
      </w:r>
    </w:p>
    <w:p>
      <w:pPr>
        <w:pStyle w:val="5"/>
        <w:spacing w:line="600" w:lineRule="exact"/>
        <w:ind w:firstLine="640" w:firstLineChars="200"/>
        <w:rPr>
          <w:rStyle w:val="28"/>
          <w:rFonts w:ascii="仿宋" w:hAnsi="仿宋" w:eastAsia="仿宋"/>
          <w:b w:val="0"/>
          <w:bCs w:val="0"/>
        </w:rPr>
      </w:pPr>
      <w:r>
        <w:rPr>
          <w:rFonts w:hint="eastAsia" w:ascii="黑体" w:hAnsi="黑体" w:eastAsia="黑体"/>
          <w:b w:val="0"/>
          <w:color w:val="000000"/>
        </w:rPr>
        <w:t>一、基</w:t>
      </w:r>
      <w:r>
        <w:rPr>
          <w:rStyle w:val="28"/>
          <w:rFonts w:hint="eastAsia" w:ascii="黑体" w:hAnsi="黑体" w:eastAsia="黑体"/>
          <w:b w:val="0"/>
          <w:bCs w:val="0"/>
        </w:rPr>
        <w:t>本职能及主要工作</w:t>
      </w:r>
      <w:bookmarkEnd w:id="17"/>
      <w:bookmarkEnd w:id="18"/>
      <w:bookmarkEnd w:id="19"/>
    </w:p>
    <w:p>
      <w:pPr>
        <w:pStyle w:val="7"/>
        <w:adjustRightInd w:val="0"/>
        <w:snapToGrid w:val="0"/>
        <w:spacing w:before="93" w:line="600" w:lineRule="exact"/>
        <w:ind w:firstLine="675" w:firstLineChars="210"/>
        <w:outlineLvl w:val="2"/>
        <w:rPr>
          <w:rFonts w:ascii="楷体_GB2312" w:hAnsi="楷体_GB2312" w:eastAsia="楷体_GB2312" w:cs="楷体_GB2312"/>
          <w:b/>
          <w:color w:val="000000"/>
          <w:sz w:val="32"/>
          <w:szCs w:val="32"/>
        </w:rPr>
      </w:pPr>
      <w:bookmarkStart w:id="20" w:name="_Toc5132"/>
      <w:bookmarkStart w:id="21" w:name="_Toc15378445"/>
      <w:bookmarkStart w:id="22" w:name="_Toc15377198"/>
      <w:r>
        <w:rPr>
          <w:rFonts w:hint="eastAsia" w:ascii="楷体_GB2312" w:hAnsi="楷体_GB2312" w:eastAsia="楷体_GB2312" w:cs="楷体_GB2312"/>
          <w:b/>
          <w:color w:val="000000"/>
          <w:sz w:val="32"/>
          <w:szCs w:val="32"/>
        </w:rPr>
        <w:t>（一）主要职能</w:t>
      </w:r>
      <w:bookmarkEnd w:id="20"/>
      <w:bookmarkEnd w:id="21"/>
      <w:bookmarkEnd w:id="22"/>
    </w:p>
    <w:p>
      <w:pPr>
        <w:pStyle w:val="7"/>
        <w:adjustRightInd w:val="0"/>
        <w:snapToGrid w:val="0"/>
        <w:spacing w:before="93" w:line="600" w:lineRule="exact"/>
        <w:ind w:firstLine="640" w:firstLineChars="200"/>
        <w:rPr>
          <w:rFonts w:hAnsi="仿宋_GB2312" w:cs="仿宋_GB2312"/>
          <w:sz w:val="32"/>
          <w:szCs w:val="32"/>
        </w:rPr>
      </w:pPr>
      <w:r>
        <w:rPr>
          <w:rFonts w:hint="eastAsia" w:hAnsi="仿宋_GB2312" w:cs="仿宋_GB2312"/>
          <w:sz w:val="32"/>
          <w:szCs w:val="32"/>
        </w:rPr>
        <w:t>汶川县人民检察院是国家法律监督机关，负责辖区各项检察工作，接受阿坝州人民检察院和汶川县党委的领导，对汶川县人民代表大会及其常委会负责并报告工作，接受其监督，执行其决议。根据县委、县政府关于2018年全县工作的总体部署，2018年主要工作是：</w:t>
      </w:r>
      <w:r>
        <w:rPr>
          <w:rFonts w:hint="eastAsia" w:hAnsi="仿宋_GB2312" w:cs="仿宋_GB2312"/>
          <w:sz w:val="32"/>
          <w:szCs w:val="32"/>
        </w:rPr>
        <w:br w:type="textWrapping"/>
      </w:r>
      <w:r>
        <w:rPr>
          <w:rFonts w:hint="eastAsia" w:hAnsi="仿宋_GB2312" w:cs="仿宋_GB2312"/>
          <w:sz w:val="32"/>
          <w:szCs w:val="32"/>
        </w:rPr>
        <w:t>　　1.制定辖区检察工作计划，落实检察工作任务。</w:t>
      </w:r>
      <w:r>
        <w:rPr>
          <w:rFonts w:hint="eastAsia" w:hAnsi="仿宋_GB2312" w:cs="仿宋_GB2312"/>
          <w:sz w:val="32"/>
          <w:szCs w:val="32"/>
        </w:rPr>
        <w:br w:type="textWrapping"/>
      </w:r>
      <w:r>
        <w:rPr>
          <w:rFonts w:hint="eastAsia" w:hAnsi="仿宋_GB2312" w:cs="仿宋_GB2312"/>
          <w:sz w:val="32"/>
          <w:szCs w:val="32"/>
        </w:rPr>
        <w:t>　　2.依法对公安机关和检察机关直接受理的犯罪案件进行审查批准逮捕、决定逮捕、提起公诉、出庭支持公诉。</w:t>
      </w:r>
      <w:r>
        <w:rPr>
          <w:rFonts w:hint="eastAsia" w:hAnsi="仿宋_GB2312" w:cs="仿宋_GB2312"/>
          <w:sz w:val="32"/>
          <w:szCs w:val="32"/>
        </w:rPr>
        <w:br w:type="textWrapping"/>
      </w:r>
      <w:r>
        <w:rPr>
          <w:rFonts w:hint="eastAsia" w:hAnsi="仿宋_GB2312" w:cs="仿宋_GB2312"/>
          <w:sz w:val="32"/>
          <w:szCs w:val="32"/>
        </w:rPr>
        <w:t>　　3.依法对刑事诉讼、民事审判和行政诉讼实行法律监督。</w:t>
      </w:r>
      <w:r>
        <w:rPr>
          <w:rFonts w:hint="eastAsia" w:hAnsi="仿宋_GB2312" w:cs="仿宋_GB2312"/>
          <w:sz w:val="32"/>
          <w:szCs w:val="32"/>
        </w:rPr>
        <w:br w:type="textWrapping"/>
      </w:r>
      <w:r>
        <w:rPr>
          <w:rFonts w:hint="eastAsia" w:hAnsi="仿宋_GB2312" w:cs="仿宋_GB2312"/>
          <w:sz w:val="32"/>
          <w:szCs w:val="32"/>
        </w:rPr>
        <w:t>　　4.依法对执行机关执行刑罚的活动是否合法实行监督。</w:t>
      </w:r>
      <w:r>
        <w:rPr>
          <w:rFonts w:hint="eastAsia" w:hAnsi="仿宋_GB2312" w:cs="仿宋_GB2312"/>
          <w:sz w:val="32"/>
          <w:szCs w:val="32"/>
        </w:rPr>
        <w:br w:type="textWrapping"/>
      </w:r>
      <w:r>
        <w:rPr>
          <w:rFonts w:hint="eastAsia" w:hAnsi="仿宋_GB2312" w:cs="仿宋_GB2312"/>
          <w:sz w:val="32"/>
          <w:szCs w:val="32"/>
        </w:rPr>
        <w:t>　　5.受理单位和个人的报案和控告、申诉及犯罪嫌疑人的自首。</w:t>
      </w:r>
      <w:r>
        <w:rPr>
          <w:rFonts w:hint="eastAsia" w:hAnsi="仿宋_GB2312" w:cs="仿宋_GB2312"/>
          <w:sz w:val="32"/>
          <w:szCs w:val="32"/>
        </w:rPr>
        <w:br w:type="textWrapping"/>
      </w:r>
      <w:r>
        <w:rPr>
          <w:rFonts w:hint="eastAsia" w:hAnsi="仿宋_GB2312" w:cs="仿宋_GB2312"/>
          <w:sz w:val="32"/>
          <w:szCs w:val="32"/>
        </w:rPr>
        <w:t xml:space="preserve">　　6.负责本院队伍建设和思想政治工作，协助县委有关部门对本院的领导班子成员的管理和考核。　 </w:t>
      </w:r>
      <w:r>
        <w:rPr>
          <w:rFonts w:hint="eastAsia" w:hAnsi="仿宋_GB2312" w:cs="仿宋_GB2312"/>
          <w:sz w:val="32"/>
          <w:szCs w:val="32"/>
        </w:rPr>
        <w:br w:type="textWrapping"/>
      </w:r>
      <w:r>
        <w:rPr>
          <w:rFonts w:hint="eastAsia" w:hAnsi="仿宋_GB2312" w:cs="仿宋_GB2312"/>
          <w:sz w:val="32"/>
          <w:szCs w:val="32"/>
        </w:rPr>
        <w:t>　　7.承办其他应由本院负责的事项。</w:t>
      </w:r>
    </w:p>
    <w:p>
      <w:pPr>
        <w:pStyle w:val="7"/>
        <w:adjustRightInd w:val="0"/>
        <w:snapToGrid w:val="0"/>
        <w:spacing w:before="93" w:line="600" w:lineRule="exact"/>
        <w:ind w:firstLine="675" w:firstLineChars="210"/>
        <w:outlineLvl w:val="2"/>
        <w:rPr>
          <w:rFonts w:ascii="楷体_GB2312" w:hAnsi="楷体_GB2312" w:eastAsia="楷体_GB2312" w:cs="楷体_GB2312"/>
          <w:b/>
          <w:color w:val="000000"/>
          <w:sz w:val="32"/>
          <w:szCs w:val="32"/>
        </w:rPr>
      </w:pPr>
      <w:bookmarkStart w:id="23" w:name="_Toc274"/>
      <w:bookmarkStart w:id="24" w:name="_Toc15378446"/>
      <w:bookmarkStart w:id="25" w:name="_Toc15377199"/>
      <w:r>
        <w:rPr>
          <w:rFonts w:hint="eastAsia" w:ascii="楷体_GB2312" w:hAnsi="楷体_GB2312" w:eastAsia="楷体_GB2312" w:cs="楷体_GB2312"/>
          <w:b/>
          <w:color w:val="000000"/>
          <w:sz w:val="32"/>
          <w:szCs w:val="32"/>
        </w:rPr>
        <w:t>（二）2018年重点工作完成情况。</w:t>
      </w:r>
      <w:bookmarkEnd w:id="23"/>
      <w:bookmarkEnd w:id="24"/>
      <w:bookmarkEnd w:id="25"/>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2018年，是检察职能发生调整、检察改革不断推进、检察事业加快发展的关键之年，我院在县委和州检察院的领导下，在县人大及其常委会的监督、县政府的支持和县政协的民主监督下，以习近平新时代中国特色社会主义思想为统揽，认真学习贯彻党的十九大和十九届二中、三中全会精神，自觉贯彻落实省委十一届二次、三次全会，州委十一届四次、五次全会和县委十二届四次全会精神，树牢“四个意识”、坚定“四个自信”、践行“两个维护”，紧紧围绕我县生态康养旅游示范地建设，</w:t>
      </w:r>
      <w:r>
        <w:rPr>
          <w:rFonts w:hint="eastAsia" w:ascii="仿宋_GB2312" w:hAnsi="宋体" w:eastAsia="仿宋_GB2312" w:cs="宋体"/>
          <w:kern w:val="0"/>
          <w:sz w:val="32"/>
          <w:szCs w:val="32"/>
        </w:rPr>
        <w:t>依法履行检察职能，</w:t>
      </w:r>
      <w:r>
        <w:rPr>
          <w:rFonts w:hint="eastAsia" w:ascii="仿宋_GB2312" w:hAnsi="宋体" w:eastAsia="仿宋_GB2312" w:cs="宋体"/>
          <w:color w:val="000000"/>
          <w:kern w:val="0"/>
          <w:sz w:val="32"/>
          <w:szCs w:val="32"/>
        </w:rPr>
        <w:t>各项检察工作取得新进展。</w:t>
      </w:r>
    </w:p>
    <w:p>
      <w:pPr>
        <w:spacing w:line="600" w:lineRule="exact"/>
        <w:ind w:firstLine="643" w:firstLineChars="200"/>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1.围绕服务发展大局，提供坚强司法保障</w:t>
      </w:r>
    </w:p>
    <w:p>
      <w:pPr>
        <w:spacing w:line="600" w:lineRule="exact"/>
        <w:ind w:firstLine="643" w:firstLineChars="200"/>
        <w:rPr>
          <w:rFonts w:ascii="仿宋_GB2312" w:hAnsi="宋体" w:eastAsia="仿宋_GB2312" w:cs="宋体"/>
          <w:color w:val="000000"/>
          <w:kern w:val="0"/>
          <w:sz w:val="32"/>
          <w:szCs w:val="32"/>
        </w:rPr>
      </w:pPr>
      <w:r>
        <w:rPr>
          <w:rFonts w:hint="eastAsia" w:ascii="仿宋_GB2312" w:hAnsi="仿宋_GB2312" w:eastAsia="仿宋_GB2312" w:cs="仿宋_GB2312"/>
          <w:b/>
          <w:color w:val="000000"/>
          <w:kern w:val="0"/>
          <w:sz w:val="32"/>
          <w:szCs w:val="32"/>
        </w:rPr>
        <w:t>切实维护社会稳定。</w:t>
      </w:r>
      <w:r>
        <w:rPr>
          <w:rFonts w:hint="eastAsia" w:ascii="仿宋_GB2312" w:hAnsi="宋体" w:eastAsia="仿宋_GB2312" w:cs="宋体"/>
          <w:color w:val="000000"/>
          <w:kern w:val="0"/>
          <w:sz w:val="32"/>
          <w:szCs w:val="32"/>
        </w:rPr>
        <w:t>牢固树立总体国家安全观，推进平安汶川建设，</w:t>
      </w:r>
      <w:r>
        <w:rPr>
          <w:rFonts w:ascii="仿宋_GB2312" w:hAnsi="宋体" w:eastAsia="仿宋_GB2312" w:cs="宋体"/>
          <w:color w:val="000000"/>
          <w:kern w:val="0"/>
          <w:sz w:val="32"/>
          <w:szCs w:val="32"/>
        </w:rPr>
        <w:t>依法打击各种</w:t>
      </w:r>
      <w:r>
        <w:rPr>
          <w:rFonts w:hint="eastAsia" w:ascii="仿宋_GB2312" w:hAnsi="宋体" w:eastAsia="仿宋_GB2312" w:cs="宋体"/>
          <w:color w:val="000000"/>
          <w:kern w:val="0"/>
          <w:sz w:val="32"/>
          <w:szCs w:val="32"/>
        </w:rPr>
        <w:t>危害公共安全、侵害</w:t>
      </w:r>
      <w:r>
        <w:rPr>
          <w:rFonts w:ascii="仿宋_GB2312" w:hAnsi="宋体" w:eastAsia="仿宋_GB2312" w:cs="宋体"/>
          <w:color w:val="000000"/>
          <w:kern w:val="0"/>
          <w:sz w:val="32"/>
          <w:szCs w:val="32"/>
        </w:rPr>
        <w:t>人民群众生命财产安全的犯罪活动，从严惩处</w:t>
      </w:r>
      <w:r>
        <w:rPr>
          <w:rFonts w:hint="eastAsia" w:ascii="仿宋_GB2312" w:hAnsi="宋体" w:eastAsia="仿宋_GB2312" w:cs="宋体"/>
          <w:color w:val="000000"/>
          <w:kern w:val="0"/>
          <w:sz w:val="32"/>
          <w:szCs w:val="32"/>
        </w:rPr>
        <w:t>妨害社会管理、影响公共秩序的犯罪行为。2018年（2017年12月1日—2018年11月30日，下同）我院共受理提请批捕刑事犯罪案件21件37人，依法批准逮捕31人，不批准逮捕6人。受理监察机关和公安机关和移送审查起诉刑事案件52件70人，依法提起公诉46件58人，决定不起诉4件4人，法院已作有罪判决45件55人，其余案件正在办理。</w:t>
      </w:r>
    </w:p>
    <w:p>
      <w:pPr>
        <w:spacing w:line="600" w:lineRule="exact"/>
        <w:ind w:firstLine="643" w:firstLineChars="200"/>
        <w:rPr>
          <w:rFonts w:ascii="仿宋_GB2312" w:eastAsia="仿宋_GB2312"/>
          <w:sz w:val="32"/>
          <w:szCs w:val="32"/>
        </w:rPr>
      </w:pPr>
      <w:r>
        <w:rPr>
          <w:rFonts w:hint="eastAsia" w:ascii="仿宋_GB2312" w:hAnsi="仿宋_GB2312" w:eastAsia="仿宋_GB2312" w:cs="仿宋_GB2312"/>
          <w:b/>
          <w:sz w:val="32"/>
          <w:szCs w:val="32"/>
        </w:rPr>
        <w:t>扎实开展扫黑除恶。</w:t>
      </w:r>
      <w:r>
        <w:rPr>
          <w:rFonts w:hint="eastAsia" w:ascii="仿宋_GB2312" w:eastAsia="仿宋_GB2312"/>
          <w:sz w:val="32"/>
          <w:szCs w:val="32"/>
        </w:rPr>
        <w:t>强化组织领导迅速动员部署，组织召开院领导小组专题推进会6次，完善机制保障建设，同相关部门会签《关于规范黑恶势力和腐败问题线索双向核查移送反馈处置的暂行办法》、《关于办理黑恶势力案件庭前会议工作的实施办法》等文件。按照工作安排，开展督导检查3次。通过多种方式积极开展专项宣传和线索摸排，组织召开座谈会4场（次），参加农民夜校宣讲3次，入村（社区）25个，张贴公告150余份，走访群众200余户，散发宣传资料8000余份。发挥法律监督职能，批捕涉黑恶犯罪嫌疑人14人，提前介入涉黑恶案件2件，积极引导公安机关侦查取证。</w:t>
      </w:r>
    </w:p>
    <w:p>
      <w:pPr>
        <w:spacing w:line="600" w:lineRule="exact"/>
        <w:ind w:firstLine="643" w:firstLineChars="200"/>
        <w:rPr>
          <w:rFonts w:ascii="楷体_GB2312" w:eastAsia="楷体_GB2312"/>
          <w:b/>
          <w:sz w:val="32"/>
          <w:szCs w:val="32"/>
        </w:rPr>
      </w:pPr>
      <w:r>
        <w:rPr>
          <w:rFonts w:hint="eastAsia" w:ascii="仿宋_GB2312" w:hAnsi="仿宋_GB2312" w:eastAsia="仿宋_GB2312" w:cs="仿宋_GB2312"/>
          <w:b/>
          <w:color w:val="000000"/>
          <w:kern w:val="0"/>
          <w:sz w:val="32"/>
          <w:szCs w:val="32"/>
        </w:rPr>
        <w:t>稳步推进未检工作。</w:t>
      </w:r>
      <w:r>
        <w:rPr>
          <w:rFonts w:hint="eastAsia" w:ascii="仿宋_GB2312" w:hAnsi="仿宋_GB2312" w:eastAsia="仿宋_GB2312" w:cs="仿宋_GB2312"/>
          <w:sz w:val="32"/>
          <w:szCs w:val="32"/>
        </w:rPr>
        <w:t>坚持“教育、感化、挽救”方针，对</w:t>
      </w:r>
      <w:r>
        <w:rPr>
          <w:rFonts w:hint="eastAsia" w:ascii="仿宋_GB2312" w:hAnsi="华文宋体" w:eastAsia="仿宋_GB2312"/>
          <w:sz w:val="32"/>
          <w:szCs w:val="32"/>
        </w:rPr>
        <w:t>未成年人犯罪案件作出酌定不起诉决定2件2人，结合办案积极</w:t>
      </w:r>
      <w:r>
        <w:rPr>
          <w:rFonts w:hint="eastAsia" w:ascii="仿宋_GB2312" w:hAnsi="仿宋_GB2312" w:eastAsia="仿宋_GB2312" w:cs="仿宋_GB2312"/>
          <w:sz w:val="32"/>
          <w:szCs w:val="32"/>
        </w:rPr>
        <w:t>开展了“双牵手”和亲职教育活动。在未成年人法治宣传方面，采用“请进来、走出去”工作模式，举办了“走进检察、遇见未检”检察开放日活动，开展了</w:t>
      </w:r>
      <w:r>
        <w:rPr>
          <w:rFonts w:hint="eastAsia" w:ascii="仿宋_GB2312" w:eastAsia="仿宋_GB2312"/>
          <w:sz w:val="32"/>
          <w:szCs w:val="32"/>
        </w:rPr>
        <w:t>“远离毒品无悔青春 巡回庭审进高校”活动，《检察日报》对此次活动进行了报道。创新检校合作方式，走进机关幼儿园开展了“防性侵”法治教育</w:t>
      </w:r>
      <w:r>
        <w:rPr>
          <w:rFonts w:hint="eastAsia" w:ascii="仿宋_GB2312" w:hAnsi="仿宋_GB2312" w:eastAsia="仿宋_GB2312" w:cs="仿宋_GB2312"/>
          <w:sz w:val="32"/>
          <w:szCs w:val="32"/>
        </w:rPr>
        <w:t>。深入到全县12个乡镇开展了事实孤儿摸排调查工作，并对1名事实孤儿开展司法救助，发放司法救助金1万元。</w:t>
      </w:r>
    </w:p>
    <w:p>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2.聚焦公平正义目标，加大法律监督力度</w:t>
      </w:r>
    </w:p>
    <w:p>
      <w:pPr>
        <w:pStyle w:val="32"/>
        <w:spacing w:line="600" w:lineRule="exact"/>
        <w:ind w:firstLine="643" w:firstLineChars="200"/>
        <w:rPr>
          <w:rFonts w:ascii="仿宋_GB2312"/>
          <w:szCs w:val="32"/>
        </w:rPr>
      </w:pPr>
      <w:r>
        <w:rPr>
          <w:rFonts w:hint="eastAsia" w:ascii="仿宋_GB2312" w:hAnsi="仿宋_GB2312" w:cs="仿宋_GB2312"/>
          <w:b/>
          <w:color w:val="000000"/>
          <w:kern w:val="0"/>
          <w:szCs w:val="32"/>
        </w:rPr>
        <w:t>强化刑事诉讼监督。</w:t>
      </w:r>
      <w:r>
        <w:rPr>
          <w:rFonts w:hint="eastAsia"/>
          <w:color w:val="000000"/>
        </w:rPr>
        <w:t>加强对侦查活动和</w:t>
      </w:r>
      <w:r>
        <w:rPr>
          <w:rFonts w:hint="eastAsia" w:ascii="仿宋_GB2312" w:hAnsi="宋体" w:cs="宋体"/>
          <w:kern w:val="0"/>
          <w:szCs w:val="32"/>
        </w:rPr>
        <w:t>审判活动的监督力度，全年共发出《撤销案件通知书》1份、《要求说明不立案理由通知书》1份、</w:t>
      </w:r>
      <w:r>
        <w:rPr>
          <w:rFonts w:hint="eastAsia" w:ascii="仿宋_GB2312"/>
          <w:szCs w:val="32"/>
        </w:rPr>
        <w:t>《纠正违法通知书》1份，《检察建议书》4份。</w:t>
      </w:r>
      <w:r>
        <w:rPr>
          <w:rFonts w:hint="eastAsia" w:ascii="仿宋_GB2312" w:hAnsi="宋体" w:cs="宋体"/>
          <w:color w:val="000000"/>
          <w:kern w:val="0"/>
          <w:szCs w:val="32"/>
        </w:rPr>
        <w:t>严把事实关、证据关，不断加强事实认定和证据审查，退回</w:t>
      </w:r>
      <w:r>
        <w:rPr>
          <w:rFonts w:hint="eastAsia" w:ascii="仿宋_GB2312"/>
          <w:szCs w:val="32"/>
        </w:rPr>
        <w:t>补充侦查16件次。提前介入刑事案件5件。强化漏犯、漏罪的追诉工作，全年共追诉漏犯3人，追诉遗漏罪行4起。积极开展量刑建议工作，提出量刑建议39件，采纳35件，采纳率为90%。落实庭审实质化要求，参加庭前会议3次，申请“四类人员”出庭6人（次）。充分运用信息化手段，首次采用远程提讯系统开展嫌疑人讯问工作。全面落实认罪认罚从宽制度，积极适用速裁程序，办理了全州首例速裁程序案件，该案仅用时10分钟便完成庭审和宣判，大大节约了司法资源。商请县司法局在我院派驻法律援助工作站，及时安排值班律师为犯罪嫌疑人提供法律帮助。</w:t>
      </w:r>
    </w:p>
    <w:p>
      <w:pPr>
        <w:spacing w:line="600" w:lineRule="exact"/>
        <w:ind w:firstLine="643" w:firstLineChars="200"/>
        <w:rPr>
          <w:rFonts w:ascii="仿宋_GB2312" w:eastAsia="仿宋_GB2312"/>
          <w:sz w:val="32"/>
          <w:szCs w:val="32"/>
        </w:rPr>
      </w:pPr>
      <w:r>
        <w:rPr>
          <w:rFonts w:hint="eastAsia" w:ascii="仿宋_GB2312" w:hAnsi="仿宋_GB2312" w:eastAsia="仿宋_GB2312" w:cs="仿宋_GB2312"/>
          <w:b/>
          <w:color w:val="000000"/>
          <w:kern w:val="0"/>
          <w:sz w:val="32"/>
          <w:szCs w:val="32"/>
        </w:rPr>
        <w:t>细化刑事执行监督。</w:t>
      </w:r>
      <w:r>
        <w:rPr>
          <w:rFonts w:hint="eastAsia" w:ascii="仿宋_GB2312" w:eastAsia="仿宋_GB2312"/>
          <w:sz w:val="32"/>
          <w:szCs w:val="32"/>
        </w:rPr>
        <w:t>强化监所监督管理，全年召开监管场所安全联席会7次，进行安全大检查12次，开展了在押人员思想教育法治宣讲活动1次。强化社区矫正专项监督，发出《检察建议书》4份、《纠正违法通知书》3份，依法监督收监执行案件4件，办理羁押必要性审查案件6件，办理中央第四巡视组交办案件1件，跨地区书面函告纠违案件1件。</w:t>
      </w:r>
    </w:p>
    <w:p>
      <w:pPr>
        <w:spacing w:line="600" w:lineRule="exact"/>
        <w:ind w:firstLine="643" w:firstLineChars="200"/>
        <w:rPr>
          <w:rFonts w:ascii="仿宋_GB2312" w:hAnsi="宋体" w:eastAsia="仿宋_GB2312" w:cs="宋体"/>
          <w:kern w:val="0"/>
          <w:sz w:val="32"/>
          <w:szCs w:val="32"/>
        </w:rPr>
      </w:pPr>
      <w:r>
        <w:rPr>
          <w:rFonts w:hint="eastAsia" w:ascii="仿宋_GB2312" w:hAnsi="仿宋_GB2312" w:eastAsia="仿宋_GB2312" w:cs="仿宋_GB2312"/>
          <w:b/>
          <w:color w:val="000000"/>
          <w:kern w:val="0"/>
          <w:sz w:val="32"/>
          <w:szCs w:val="32"/>
        </w:rPr>
        <w:t>深化民事行政监督。</w:t>
      </w:r>
      <w:r>
        <w:rPr>
          <w:rFonts w:hint="eastAsia" w:ascii="仿宋_GB2312" w:hAnsi="宋体" w:eastAsia="仿宋_GB2312" w:cs="宋体"/>
          <w:kern w:val="0"/>
          <w:sz w:val="32"/>
          <w:szCs w:val="32"/>
        </w:rPr>
        <w:t>积极拓展法律监督职能，努力提高监督质量和监督水平，全年受理民事执行监督案件4件。全面贯彻落实修改后的民事诉讼法、行政诉讼法，稳步推进公益诉讼新职能，按照州院统筹部署，整合办案力量和资源，规范办案流程，抓好开局起步，突出工作重点，开展了“净化江河源头”公益诉讼专项行动，</w:t>
      </w:r>
      <w:r>
        <w:rPr>
          <w:rFonts w:hint="eastAsia" w:ascii="仿宋_GB2312" w:hAnsi="宋体" w:eastAsia="仿宋_GB2312"/>
          <w:sz w:val="32"/>
          <w:szCs w:val="32"/>
        </w:rPr>
        <w:t>办理诉前行政公益诉讼案件10件，向相关行政执法部门发出《检察建议书》10份</w:t>
      </w:r>
      <w:r>
        <w:rPr>
          <w:rFonts w:hint="eastAsia" w:ascii="仿宋_GB2312" w:hAnsi="宋体" w:eastAsia="仿宋_GB2312" w:cs="宋体"/>
          <w:kern w:val="0"/>
          <w:sz w:val="32"/>
          <w:szCs w:val="32"/>
        </w:rPr>
        <w:t>，并全部得到整改回复，积极推动了砂石行业治理，助力全县生态环境和资源保护。注重联系协作机制建立，与相关行政执法部门召开联席会议5次，与县环林局、县食药监局分别会签了《关于建立民事行政检察与环境保护行政执法工作联系的制度》、《共同维护食品药品安全领域公共利益的协作办法》。同时完善内部协作机制，制定了《关于公益诉讼工作内部协作的规定(试行)》，形成内设机构间相互移送案件线索的联动机制。</w:t>
      </w:r>
    </w:p>
    <w:p>
      <w:pPr>
        <w:spacing w:line="600" w:lineRule="exact"/>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3.立足三大攻坚任务，不断提升检察形象</w:t>
      </w:r>
    </w:p>
    <w:p>
      <w:pPr>
        <w:spacing w:line="600" w:lineRule="exact"/>
        <w:ind w:firstLine="643" w:firstLineChars="2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妥善化解社会矛盾。</w:t>
      </w:r>
      <w:r>
        <w:rPr>
          <w:rFonts w:hint="eastAsia" w:ascii="仿宋_GB2312" w:hAnsi="仿宋_GB2312" w:eastAsia="仿宋_GB2312" w:cs="仿宋_GB2312"/>
          <w:snapToGrid w:val="0"/>
          <w:color w:val="000000"/>
          <w:kern w:val="0"/>
          <w:sz w:val="32"/>
          <w:szCs w:val="32"/>
        </w:rPr>
        <w:t>坚持把化解矛盾贯穿司法办案始终，健全检察环节依法维权和化解纠纷机制，落实刑事和解、检调对接等工作</w:t>
      </w:r>
      <w:r>
        <w:rPr>
          <w:rFonts w:hint="eastAsia" w:ascii="仿宋_GB2312" w:hAnsi="仿宋_GB2312" w:eastAsia="仿宋_GB2312" w:cs="仿宋_GB2312"/>
          <w:sz w:val="32"/>
          <w:szCs w:val="32"/>
        </w:rPr>
        <w:t>。按照接访受案规范化要求，完成“12309”检察服务中心建设，为群众提供及时、便捷、高效、满意的检察服务。受理控告申诉案件3件，化解信访积案1件，接待群众来访30余人次。加强律师执业保障，接待辩护人、诉讼代理人阅卷申请11件。</w:t>
      </w:r>
      <w:r>
        <w:rPr>
          <w:rFonts w:hint="eastAsia" w:ascii="仿宋_GB2312" w:hAnsi="仿宋_GB2312" w:eastAsia="仿宋_GB2312" w:cs="仿宋_GB2312"/>
          <w:color w:val="000000"/>
          <w:kern w:val="0"/>
          <w:sz w:val="32"/>
          <w:szCs w:val="32"/>
        </w:rPr>
        <w:t>贯彻宽严相济刑事政策，结合办案</w:t>
      </w:r>
      <w:r>
        <w:rPr>
          <w:rFonts w:hint="eastAsia" w:ascii="仿宋_GB2312" w:hAnsi="仿宋_GB2312" w:eastAsia="仿宋_GB2312" w:cs="仿宋_GB2312"/>
          <w:sz w:val="32"/>
          <w:szCs w:val="32"/>
        </w:rPr>
        <w:t>认真开展审查监督、刑事和解、亲职教育等工作，减少社会对立面。全年办理刑事和解案件1件，对</w:t>
      </w:r>
      <w:r>
        <w:rPr>
          <w:rFonts w:hint="eastAsia" w:ascii="仿宋_GB2312" w:hAnsi="仿宋_GB2312" w:eastAsia="仿宋_GB2312" w:cs="仿宋_GB2312"/>
          <w:kern w:val="0"/>
          <w:sz w:val="32"/>
          <w:szCs w:val="32"/>
        </w:rPr>
        <w:t>不具有社会危险性不批捕1人，作出</w:t>
      </w:r>
      <w:r>
        <w:rPr>
          <w:rFonts w:hint="eastAsia" w:ascii="仿宋_GB2312" w:hAnsi="仿宋_GB2312" w:eastAsia="仿宋_GB2312" w:cs="仿宋_GB2312"/>
          <w:sz w:val="32"/>
          <w:szCs w:val="32"/>
        </w:rPr>
        <w:t>酌定不起诉决定3人，开展亲职教育1件。立足全县工作大局，主动参与社会综合治理，开展各类法治宣传18次，发放宣传资料16000余份。</w:t>
      </w:r>
    </w:p>
    <w:p>
      <w:pPr>
        <w:spacing w:line="60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积极助力脱贫奔康。</w:t>
      </w:r>
      <w:r>
        <w:rPr>
          <w:rFonts w:hint="eastAsia" w:ascii="仿宋_GB2312" w:hAnsi="仿宋_GB2312" w:eastAsia="仿宋_GB2312" w:cs="仿宋_GB2312"/>
          <w:sz w:val="32"/>
          <w:szCs w:val="32"/>
        </w:rPr>
        <w:t>切实践行“一线工作法”，不断提高检察干警的群众工作能力，结合“户户入、入户户”、“两联一进”工作，继续选派2名青年干警担任第一书记，干警进村入户扎实开展了法制宣传、政策宣讲、知识竞赛、新春慰问等共建活动，积极传播汶川价值观，引导群众树立向上向善的思想理念，进一步激发群众的感恩情怀及脱贫奔康的信心和决心。坚持推进精准扶贫与司法救助相结合，与县扶贫移民局会签《关于推进脱贫攻坚领域刑事被害人国家司法救助工作的衔接办法（试行）》，并对1名贫困户案件当事人进行了司法救助，发放救助金2万元。</w:t>
      </w:r>
    </w:p>
    <w:p>
      <w:pPr>
        <w:spacing w:line="600" w:lineRule="exact"/>
        <w:ind w:firstLine="643" w:firstLineChars="2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着力保障生态环境。</w:t>
      </w:r>
      <w:r>
        <w:rPr>
          <w:rFonts w:hint="eastAsia" w:ascii="仿宋_GB2312" w:hAnsi="仿宋_GB2312" w:eastAsia="仿宋_GB2312" w:cs="仿宋_GB2312"/>
          <w:sz w:val="32"/>
          <w:szCs w:val="32"/>
        </w:rPr>
        <w:t>认真开展生态检察工作，全年</w:t>
      </w:r>
      <w:r>
        <w:rPr>
          <w:rFonts w:hint="eastAsia" w:ascii="仿宋_GB2312" w:hAnsi="仿宋_GB2312" w:eastAsia="仿宋_GB2312" w:cs="仿宋_GB2312"/>
          <w:color w:val="000000"/>
          <w:kern w:val="0"/>
          <w:sz w:val="32"/>
          <w:szCs w:val="32"/>
        </w:rPr>
        <w:t>办理破坏生态环境资源保护类犯罪案件4件5人。在与县环林局、县森林公安局、县法院联合开展“守护绿川2号”专项行动中，查办涉林刑事案件3件，监督林政案件12件16人。积极推行恢复性绿色司法理念，会签《汶川县关于破坏森林资源违法犯罪生态损失补偿实施办法》，联合县法院、县环林局、县森林公安局在绵虒镇建立阿坝州首个破坏森林资源违法犯罪案件补植复绿基地，占地面积共计2080亩，目前已督促2名盗伐林木案犯罪嫌疑人补种林木40株。</w:t>
      </w:r>
    </w:p>
    <w:p>
      <w:pPr>
        <w:spacing w:line="600" w:lineRule="exact"/>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4.落实从严治检要求，持续提升队伍能力</w:t>
      </w:r>
    </w:p>
    <w:p>
      <w:pPr>
        <w:spacing w:line="600" w:lineRule="exact"/>
        <w:ind w:firstLine="643"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b/>
          <w:sz w:val="32"/>
          <w:szCs w:val="32"/>
        </w:rPr>
        <w:t>坚定检察工作发展方向。</w:t>
      </w:r>
      <w:r>
        <w:rPr>
          <w:rFonts w:hint="eastAsia" w:ascii="仿宋_GB2312" w:hAnsi="仿宋_GB2312" w:eastAsia="仿宋_GB2312" w:cs="仿宋_GB2312"/>
          <w:sz w:val="32"/>
          <w:szCs w:val="32"/>
        </w:rPr>
        <w:t>始终坚持党的领导，牢固树立党的领导是社会主义法治根本保证的基本理念，紧紧围绕县委中心工作来谋划和推进检察工作，主动服从大局、服务发展。严格执行重大事项党内请示报告制度，全年汇报请示工作5次，县委领导先后多次对检察工作作出重要批示，为检察工作开展提供了强大动力。坚持宪法至上，主动接受人大监督，向人大常委会汇报工作2次，就公益诉讼工作开展情况进行了专题报告。</w:t>
      </w:r>
      <w:r>
        <w:rPr>
          <w:rFonts w:hint="eastAsia" w:ascii="仿宋_GB2312" w:hAnsi="仿宋_GB2312" w:eastAsia="仿宋_GB2312" w:cs="仿宋_GB2312"/>
          <w:color w:val="000000"/>
          <w:kern w:val="0"/>
          <w:sz w:val="32"/>
          <w:szCs w:val="32"/>
        </w:rPr>
        <w:t>注重联系人大代表、政协委员工作，</w:t>
      </w:r>
      <w:r>
        <w:rPr>
          <w:rFonts w:hint="eastAsia" w:ascii="仿宋_GB2312" w:hAnsi="仿宋_GB2312" w:eastAsia="仿宋_GB2312" w:cs="仿宋_GB2312"/>
          <w:sz w:val="32"/>
          <w:szCs w:val="32"/>
        </w:rPr>
        <w:t>定期开展征求意见活动，共走访人大代表、政协委员和社会各界人士18人次。</w:t>
      </w:r>
      <w:r>
        <w:rPr>
          <w:rFonts w:hint="eastAsia" w:ascii="仿宋_GB2312" w:hAnsi="仿宋_GB2312" w:eastAsia="仿宋_GB2312" w:cs="仿宋_GB2312"/>
          <w:color w:val="000000"/>
          <w:kern w:val="0"/>
          <w:sz w:val="32"/>
          <w:szCs w:val="32"/>
        </w:rPr>
        <w:t>邀请代表、委员参加检察开放日活动4次、观摩庭审2次、专题座谈3次。</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000000"/>
          <w:kern w:val="0"/>
          <w:sz w:val="32"/>
          <w:szCs w:val="32"/>
        </w:rPr>
        <w:t>狠抓队伍政治素能建设。</w:t>
      </w:r>
      <w:r>
        <w:rPr>
          <w:rFonts w:hint="eastAsia" w:ascii="仿宋_GB2312" w:hAnsi="仿宋_GB2312" w:eastAsia="仿宋_GB2312" w:cs="仿宋_GB2312"/>
          <w:color w:val="000000"/>
          <w:kern w:val="0"/>
          <w:sz w:val="32"/>
          <w:szCs w:val="32"/>
        </w:rPr>
        <w:t>深入学习党的十九大精神和习近平新时代中国特色社会主义思想，以习近平新时代中国特色社会主义思想指导检察工作。不断提升系统学习力度，从组织领导、营造氛围、教育培训、督导落实四方面认真落实《汶川县人民检察院学习宣传贯彻党的十九大精神工作方案》。完善党建工作责任体系，推动党建与业务、队建融合发展，结合“两学一做”学习教育常态化制度化工</w:t>
      </w:r>
      <w:bookmarkStart w:id="105" w:name="_GoBack"/>
      <w:bookmarkEnd w:id="105"/>
      <w:r>
        <w:rPr>
          <w:rFonts w:hint="eastAsia" w:ascii="仿宋_GB2312" w:hAnsi="仿宋_GB2312" w:eastAsia="仿宋_GB2312" w:cs="仿宋_GB2312"/>
          <w:color w:val="000000"/>
          <w:kern w:val="0"/>
          <w:sz w:val="32"/>
          <w:szCs w:val="32"/>
        </w:rPr>
        <w:t>作和“三会一课”制度，开展了主题党日活动6次、党员集中学习16次、专题讨论5次、辅导宣讲2次，切实把思想政治建设抓细抓小。提升队伍教育培训力度，</w:t>
      </w:r>
      <w:r>
        <w:rPr>
          <w:rFonts w:hint="eastAsia" w:ascii="仿宋_GB2312" w:hAnsi="仿宋_GB2312" w:eastAsia="仿宋_GB2312" w:cs="仿宋_GB2312"/>
          <w:sz w:val="32"/>
          <w:szCs w:val="32"/>
        </w:rPr>
        <w:t>抽派1名干警赴资阳市雁江区院挂职锻炼，组织干警参加省州县举办的各类培训27人次，参加学习讲座、网络培训8轮次，实现干警教育培训全覆盖。</w:t>
      </w:r>
    </w:p>
    <w:p>
      <w:pPr>
        <w:spacing w:line="600" w:lineRule="exact"/>
        <w:ind w:firstLine="643"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不断强化从严治检力度。</w:t>
      </w:r>
      <w:r>
        <w:rPr>
          <w:rFonts w:hint="eastAsia" w:ascii="仿宋_GB2312" w:hAnsi="仿宋_GB2312" w:eastAsia="仿宋_GB2312" w:cs="仿宋_GB2312"/>
          <w:color w:val="000000"/>
          <w:kern w:val="0"/>
          <w:sz w:val="32"/>
          <w:szCs w:val="32"/>
        </w:rPr>
        <w:t>始终把严明政治纪律和政治规矩放在首位，严格执行新形势下党内政治生活若干准则，从严落实党风廉政建设责任制。坚持每周例会学法、学纪制度，开展集中学习29次。认真抓好州检察院对我院政治巡察反馈意见整改工作，召开专题推进会议2次，民主生活会1次，制定整改方案扎实整改。落实全面从严治党治检“两个责任”，细化党风廉政建设责任清单，层层签订“一岗双责”责任书，开展检务督查8次，不断强化队伍监管力度和纪律要求。主动加强内部监督，</w:t>
      </w:r>
      <w:r>
        <w:rPr>
          <w:rFonts w:hint="eastAsia" w:ascii="仿宋_GB2312" w:hAnsi="仿宋_GB2312" w:eastAsia="仿宋_GB2312" w:cs="仿宋_GB2312"/>
          <w:sz w:val="32"/>
          <w:szCs w:val="32"/>
        </w:rPr>
        <w:t>正式上线运行案件质量评查系统，开展常规评查案件15件，专项评查案件1件，</w:t>
      </w:r>
      <w:r>
        <w:rPr>
          <w:rFonts w:hint="eastAsia" w:ascii="仿宋_GB2312" w:hAnsi="仿宋_GB2312" w:eastAsia="仿宋_GB2312" w:cs="仿宋_GB2312"/>
          <w:color w:val="000000"/>
          <w:kern w:val="0"/>
          <w:sz w:val="32"/>
          <w:szCs w:val="32"/>
        </w:rPr>
        <w:t>准确把握司法办案的程序节点，规范司法行为。</w:t>
      </w:r>
    </w:p>
    <w:p>
      <w:pPr>
        <w:spacing w:line="600" w:lineRule="exact"/>
        <w:ind w:firstLine="643"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b/>
          <w:sz w:val="32"/>
          <w:szCs w:val="32"/>
        </w:rPr>
        <w:t>积极落实检务公开要求。</w:t>
      </w:r>
      <w:r>
        <w:rPr>
          <w:rFonts w:hint="eastAsia" w:ascii="仿宋_GB2312" w:hAnsi="仿宋_GB2312" w:eastAsia="仿宋_GB2312" w:cs="仿宋_GB2312"/>
          <w:sz w:val="32"/>
          <w:szCs w:val="32"/>
        </w:rPr>
        <w:t>全面构建阳光检察工作机制，依法保障人民群众对检察工作的知情权、参与权和监督权。举办检察开放日活动4次，在“人民检察院案件信息公开网”发布案件信息20条，公开法律文书44份。有重点、有计划地开展检察工作新闻宣传活动，共发表新闻稿件57篇，强化与县电视台的对接，开展“心系留守姐妹 法治阳光护航”等专题活动新闻报道8次。</w:t>
      </w:r>
      <w:r>
        <w:rPr>
          <w:rFonts w:hint="eastAsia" w:ascii="仿宋_GB2312" w:hAnsi="仿宋_GB2312" w:eastAsia="仿宋_GB2312" w:cs="仿宋_GB2312"/>
          <w:color w:val="000000"/>
          <w:kern w:val="0"/>
          <w:sz w:val="32"/>
          <w:szCs w:val="32"/>
        </w:rPr>
        <w:t>加强新媒体的运用，切实把“两微一端”打造成为深化检务公开、推进“阳光检务”的重要平台，发布检察动态信息433条，策划“刑事和解微直播”等新媒体平台专题法治宣传2次，制作了“5.12汶川特大地震十周年纪念活动”专题H5宣传片，推荐量及累积阅读量超过万余次。</w:t>
      </w:r>
    </w:p>
    <w:p>
      <w:pPr>
        <w:pStyle w:val="5"/>
        <w:spacing w:before="0" w:after="0" w:line="600" w:lineRule="exact"/>
        <w:ind w:firstLine="640" w:firstLineChars="200"/>
        <w:rPr>
          <w:rStyle w:val="28"/>
          <w:b w:val="0"/>
          <w:bCs w:val="0"/>
        </w:rPr>
      </w:pPr>
      <w:bookmarkStart w:id="26" w:name="_Toc15396601"/>
      <w:bookmarkStart w:id="27" w:name="_Toc17313"/>
      <w:bookmarkStart w:id="28" w:name="_Toc15377200"/>
      <w:r>
        <w:rPr>
          <w:rFonts w:hint="eastAsia" w:ascii="黑体" w:eastAsia="黑体"/>
          <w:b w:val="0"/>
          <w:color w:val="000000"/>
        </w:rPr>
        <w:t>二、</w:t>
      </w:r>
      <w:r>
        <w:rPr>
          <w:rFonts w:hint="eastAsia" w:ascii="黑体" w:hAnsi="黑体" w:eastAsia="黑体"/>
          <w:b w:val="0"/>
          <w:color w:val="000000"/>
        </w:rPr>
        <w:t>机</w:t>
      </w:r>
      <w:r>
        <w:rPr>
          <w:rStyle w:val="28"/>
          <w:rFonts w:hint="eastAsia" w:ascii="黑体" w:hAnsi="黑体" w:eastAsia="黑体"/>
          <w:b w:val="0"/>
          <w:bCs w:val="0"/>
        </w:rPr>
        <w:t>构设置</w:t>
      </w:r>
      <w:bookmarkEnd w:id="26"/>
      <w:bookmarkEnd w:id="27"/>
      <w:bookmarkEnd w:id="28"/>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汶川县人民检察院目前设有16个内设机构，包括1个驻所检察室和2个派驻检察室。</w:t>
      </w:r>
    </w:p>
    <w:p>
      <w:pPr>
        <w:spacing w:line="600" w:lineRule="exact"/>
        <w:jc w:val="center"/>
        <w:rPr>
          <w:rStyle w:val="27"/>
          <w:rFonts w:ascii="黑体" w:hAnsi="黑体" w:eastAsia="黑体"/>
        </w:rPr>
      </w:pPr>
      <w:r>
        <w:rPr>
          <w:rFonts w:ascii="仿宋" w:hAnsi="仿宋" w:eastAsia="仿宋"/>
          <w:color w:val="000000"/>
          <w:sz w:val="32"/>
          <w:szCs w:val="32"/>
        </w:rPr>
        <w:br w:type="page"/>
      </w:r>
      <w:bookmarkStart w:id="29" w:name="_Toc15377204"/>
      <w:bookmarkStart w:id="30" w:name="_Toc15396602"/>
      <w:bookmarkStart w:id="31" w:name="_Toc2947"/>
      <w:r>
        <w:rPr>
          <w:rStyle w:val="27"/>
          <w:rFonts w:hint="eastAsia" w:ascii="黑体" w:hAnsi="黑体"/>
        </w:rPr>
        <w:t>第二部分</w:t>
      </w:r>
      <w:r>
        <w:rPr>
          <w:rStyle w:val="27"/>
          <w:rFonts w:hint="eastAsia" w:ascii="黑体" w:hAnsi="黑体" w:eastAsia="黑体"/>
          <w:b w:val="0"/>
          <w:bCs w:val="0"/>
        </w:rPr>
        <w:t>2018年度部门决算情况说明</w:t>
      </w:r>
      <w:bookmarkEnd w:id="29"/>
      <w:bookmarkEnd w:id="30"/>
      <w:bookmarkEnd w:id="31"/>
    </w:p>
    <w:p>
      <w:pPr>
        <w:pStyle w:val="5"/>
        <w:keepLines w:val="0"/>
        <w:spacing w:before="0" w:after="0" w:line="600" w:lineRule="exact"/>
        <w:ind w:firstLine="640" w:firstLineChars="200"/>
        <w:rPr>
          <w:rFonts w:ascii="黑体" w:hAnsi="黑体" w:eastAsia="黑体"/>
          <w:b w:val="0"/>
          <w:color w:val="000000"/>
        </w:rPr>
      </w:pPr>
      <w:bookmarkStart w:id="32" w:name="_Toc15396603"/>
      <w:bookmarkStart w:id="33" w:name="_Toc15377205"/>
      <w:bookmarkStart w:id="34" w:name="_Toc16351"/>
      <w:r>
        <w:rPr>
          <w:rFonts w:hint="eastAsia" w:ascii="黑体" w:hAnsi="黑体" w:eastAsia="黑体"/>
          <w:b w:val="0"/>
          <w:color w:val="000000"/>
        </w:rPr>
        <w:t>一、收入支出决算总体情况说明</w:t>
      </w:r>
      <w:bookmarkEnd w:id="32"/>
      <w:bookmarkEnd w:id="33"/>
      <w:bookmarkEnd w:id="34"/>
    </w:p>
    <w:p>
      <w:pPr>
        <w:spacing w:line="600" w:lineRule="exact"/>
        <w:ind w:firstLine="640" w:firstLineChars="200"/>
        <w:rPr>
          <w:rFonts w:ascii="仿宋_GB2312" w:hAnsi="仿宋_GB2312" w:eastAsia="仿宋_GB2312" w:cs="仿宋_GB2312"/>
          <w:color w:val="000000"/>
          <w:sz w:val="32"/>
          <w:szCs w:val="32"/>
        </w:rPr>
      </w:pPr>
      <w:r>
        <w:rPr>
          <w:rFonts w:hint="eastAsia" w:ascii="仿宋_GB2312" w:eastAsia="仿宋_GB2312"/>
          <w:color w:val="000000"/>
          <w:sz w:val="32"/>
          <w:szCs w:val="32"/>
        </w:rPr>
        <w:t>2018年检察院收入决算总额为1029.24万元，支出决算总额为905.43万元，</w:t>
      </w:r>
      <w:r>
        <w:rPr>
          <w:rFonts w:hint="eastAsia" w:ascii="仿宋_GB2312" w:hAnsi="仿宋_GB2312" w:eastAsia="仿宋_GB2312" w:cs="仿宋_GB2312"/>
          <w:color w:val="000000"/>
          <w:sz w:val="32"/>
          <w:szCs w:val="32"/>
        </w:rPr>
        <w:t>与2017年相比，收入增加79.01万元，增长8%；支出增加146.66万元，增长19%，主要变动原因是人员增加，相应工资等费用增加。</w:t>
      </w:r>
    </w:p>
    <w:p>
      <w:pPr>
        <w:spacing w:line="600" w:lineRule="exact"/>
        <w:rPr>
          <w:rFonts w:ascii="仿宋" w:hAnsi="仿宋" w:eastAsia="仿宋"/>
          <w:color w:val="000000" w:themeColor="text1"/>
          <w:sz w:val="32"/>
          <w:szCs w:val="32"/>
        </w:rPr>
      </w:pPr>
      <w:r>
        <w:drawing>
          <wp:anchor distT="0" distB="0" distL="114300" distR="114300" simplePos="0" relativeHeight="251668480" behindDoc="0" locked="0" layoutInCell="1" allowOverlap="1">
            <wp:simplePos x="0" y="0"/>
            <wp:positionH relativeFrom="column">
              <wp:posOffset>471805</wp:posOffset>
            </wp:positionH>
            <wp:positionV relativeFrom="paragraph">
              <wp:posOffset>290195</wp:posOffset>
            </wp:positionV>
            <wp:extent cx="4392295" cy="2736215"/>
            <wp:effectExtent l="5080" t="4445" r="22225" b="21590"/>
            <wp:wrapSquare wrapText="bothSides"/>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2"/>
        <w:ind w:firstLine="640"/>
        <w:rPr>
          <w:rFonts w:ascii="仿宋" w:hAnsi="仿宋" w:eastAsia="仿宋"/>
          <w:color w:val="000000" w:themeColor="text1"/>
          <w:sz w:val="32"/>
          <w:szCs w:val="32"/>
        </w:rPr>
      </w:pPr>
    </w:p>
    <w:p>
      <w:pPr>
        <w:pStyle w:val="2"/>
        <w:ind w:firstLine="640"/>
        <w:rPr>
          <w:rFonts w:ascii="仿宋" w:hAnsi="仿宋" w:eastAsia="仿宋"/>
          <w:color w:val="000000" w:themeColor="text1"/>
          <w:sz w:val="32"/>
          <w:szCs w:val="32"/>
        </w:rPr>
      </w:pPr>
    </w:p>
    <w:p>
      <w:pPr>
        <w:pStyle w:val="2"/>
        <w:ind w:firstLine="640"/>
        <w:rPr>
          <w:rFonts w:ascii="仿宋" w:hAnsi="仿宋" w:eastAsia="仿宋"/>
          <w:color w:val="000000" w:themeColor="text1"/>
          <w:sz w:val="32"/>
          <w:szCs w:val="32"/>
        </w:rPr>
      </w:pPr>
    </w:p>
    <w:p>
      <w:pPr>
        <w:pStyle w:val="2"/>
        <w:ind w:firstLine="640"/>
        <w:rPr>
          <w:rFonts w:ascii="仿宋" w:hAnsi="仿宋" w:eastAsia="仿宋"/>
          <w:color w:val="000000" w:themeColor="text1"/>
          <w:sz w:val="32"/>
          <w:szCs w:val="32"/>
        </w:rPr>
      </w:pPr>
    </w:p>
    <w:p>
      <w:pPr>
        <w:spacing w:line="600" w:lineRule="exact"/>
        <w:ind w:firstLine="640" w:firstLineChars="200"/>
        <w:outlineLvl w:val="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（图1：收、支决算总计变动情况图）（柱状图）</w:t>
      </w:r>
    </w:p>
    <w:p>
      <w:pPr>
        <w:pStyle w:val="5"/>
        <w:keepLines w:val="0"/>
        <w:spacing w:before="0" w:after="0" w:line="600" w:lineRule="exact"/>
        <w:ind w:firstLine="640" w:firstLineChars="200"/>
        <w:rPr>
          <w:rFonts w:ascii="黑体" w:hAnsi="黑体" w:eastAsia="黑体"/>
          <w:b w:val="0"/>
          <w:color w:val="000000"/>
        </w:rPr>
      </w:pPr>
      <w:bookmarkStart w:id="35" w:name="_Toc15377206"/>
      <w:bookmarkStart w:id="36" w:name="_Toc3761"/>
      <w:bookmarkStart w:id="37" w:name="_Toc15396604"/>
      <w:r>
        <w:rPr>
          <w:rFonts w:hint="eastAsia" w:ascii="黑体" w:hAnsi="黑体" w:eastAsia="黑体"/>
          <w:b w:val="0"/>
          <w:color w:val="000000"/>
        </w:rPr>
        <w:t>二、收入决算情况说明</w:t>
      </w:r>
      <w:bookmarkEnd w:id="35"/>
      <w:bookmarkEnd w:id="36"/>
      <w:bookmarkEnd w:id="37"/>
    </w:p>
    <w:p>
      <w:pPr>
        <w:spacing w:line="600" w:lineRule="exact"/>
        <w:ind w:firstLine="640" w:firstLineChars="200"/>
        <w:outlineLvl w:val="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2018年本年收入合计1029.24万元，其中：一般公共预算财政拨款收入1029.22万元，占99.998%；政府性基金预算财政拨款收入0万元，占0%；国有资本经营预算财政拨款收入0万元，占0%；事业收入0万元，占0%；经营收入0万元，占0%；附属单位上缴收入0万元，占0%；其他收入0.02万元，占0.002%。</w:t>
      </w:r>
    </w:p>
    <w:p>
      <w:pPr>
        <w:spacing w:line="600" w:lineRule="exact"/>
        <w:ind w:firstLine="600" w:firstLineChars="200"/>
        <w:jc w:val="center"/>
        <w:rPr>
          <w:rFonts w:ascii="仿宋_GB2312" w:hAnsi="仿宋" w:eastAsia="仿宋_GB2312"/>
          <w:color w:val="000000"/>
          <w:sz w:val="30"/>
          <w:szCs w:val="30"/>
        </w:rPr>
      </w:pPr>
      <w:bookmarkStart w:id="38" w:name="_Toc15396605"/>
      <w:bookmarkStart w:id="39" w:name="_Toc28346"/>
      <w:bookmarkStart w:id="40" w:name="_Toc15377207"/>
      <w:r>
        <w:rPr>
          <w:rFonts w:ascii="仿宋_GB2312" w:hAnsi="仿宋" w:eastAsia="仿宋_GB2312"/>
          <w:color w:val="000000"/>
          <w:sz w:val="30"/>
          <w:szCs w:val="30"/>
        </w:rPr>
        <w:pict>
          <v:shape id="_x0000_s1049" o:spid="_x0000_s1049" o:spt="75" type="#_x0000_t75" style="position:absolute;left:0pt;margin-left:25.6pt;margin-top:15.7pt;height:141.75pt;width:409.05pt;mso-wrap-distance-bottom:0pt;mso-wrap-distance-top:0pt;z-index:251667456;mso-width-relative:page;mso-height-relative:page;" o:ole="t" filled="f" o:preferrelative="t" stroked="f" coordsize="21600,21600">
            <v:path/>
            <v:fill on="f" focussize="0,0"/>
            <v:stroke on="f" joinstyle="miter"/>
            <v:imagedata r:id="rId10" o:title=""/>
            <o:lock v:ext="edit" aspectratio="t"/>
            <w10:wrap type="topAndBottom"/>
          </v:shape>
          <o:OLEObject Type="Embed" ProgID="Excel.Chart.8" ShapeID="_x0000_s1049" DrawAspect="Content" ObjectID="_1468075725" r:id="rId9">
            <o:LockedField>false</o:LockedField>
          </o:OLEObject>
        </w:pict>
      </w:r>
      <w:r>
        <w:rPr>
          <w:rFonts w:hint="eastAsia" w:ascii="仿宋_GB2312" w:hAnsi="仿宋_GB2312" w:eastAsia="仿宋_GB2312" w:cs="仿宋_GB2312"/>
          <w:color w:val="000000"/>
          <w:sz w:val="32"/>
          <w:szCs w:val="32"/>
        </w:rPr>
        <w:t>（图2：收入决算结构图）（饼状图）</w:t>
      </w:r>
    </w:p>
    <w:p>
      <w:pPr>
        <w:spacing w:line="600" w:lineRule="exact"/>
        <w:ind w:firstLine="640" w:firstLineChars="200"/>
        <w:jc w:val="left"/>
        <w:rPr>
          <w:rStyle w:val="28"/>
          <w:rFonts w:ascii="黑体" w:hAnsi="黑体" w:eastAsia="黑体"/>
          <w:b w:val="0"/>
        </w:rPr>
      </w:pPr>
      <w:r>
        <w:rPr>
          <w:rFonts w:hint="eastAsia" w:ascii="黑体" w:hAnsi="黑体" w:eastAsia="黑体"/>
          <w:color w:val="000000"/>
          <w:sz w:val="32"/>
          <w:szCs w:val="32"/>
        </w:rPr>
        <w:t>三、支</w:t>
      </w:r>
      <w:r>
        <w:rPr>
          <w:rStyle w:val="28"/>
          <w:rFonts w:hint="eastAsia" w:ascii="黑体" w:hAnsi="黑体" w:eastAsia="黑体"/>
          <w:b w:val="0"/>
        </w:rPr>
        <w:t>出决算情况说明</w:t>
      </w:r>
      <w:bookmarkEnd w:id="38"/>
      <w:bookmarkEnd w:id="39"/>
      <w:bookmarkEnd w:id="40"/>
    </w:p>
    <w:p>
      <w:pPr>
        <w:spacing w:line="60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2018年本年支出合计905.43万元，其中：基本支出787.85万元，占87%；项目支出117.58万元，占13%；上缴上级支出0万元，占0%；经营支出0万元，占0%；对附属单位补助支出0万元，占0%。</w:t>
      </w:r>
    </w:p>
    <w:p>
      <w:pPr>
        <w:spacing w:line="600" w:lineRule="exact"/>
        <w:ind w:firstLine="1280" w:firstLineChars="400"/>
        <w:jc w:val="center"/>
        <w:outlineLvl w:val="1"/>
        <w:rPr>
          <w:rFonts w:ascii="黑体" w:hAnsi="黑体" w:eastAsia="黑体"/>
          <w:color w:val="000000"/>
          <w:sz w:val="32"/>
          <w:szCs w:val="32"/>
        </w:rPr>
      </w:pPr>
      <w:bookmarkStart w:id="41" w:name="_Toc15377208"/>
      <w:bookmarkStart w:id="42" w:name="_Toc30871"/>
      <w:bookmarkStart w:id="43" w:name="_Toc15396606"/>
      <w:r>
        <w:rPr>
          <w:rFonts w:hint="eastAsia" w:ascii="仿宋_GB2312" w:hAnsi="仿宋_GB2312" w:eastAsia="仿宋_GB2312" w:cs="仿宋_GB2312"/>
          <w:color w:val="000000"/>
          <w:sz w:val="32"/>
          <w:szCs w:val="32"/>
        </w:rPr>
        <w:t>（图3：支出决算结构图）（饼状图）</w:t>
      </w:r>
      <w:r>
        <w:rPr>
          <w:rFonts w:ascii="仿宋_GB2312" w:hAnsi="仿宋" w:eastAsia="仿宋_GB2312"/>
          <w:color w:val="000000"/>
          <w:sz w:val="30"/>
          <w:szCs w:val="30"/>
        </w:rPr>
        <w:pict>
          <v:shape id="_x0000_s1031" o:spid="_x0000_s1031" o:spt="75" type="#_x0000_t75" style="position:absolute;left:0pt;margin-left:46.9pt;margin-top:10.65pt;height:141.75pt;width:332.8pt;mso-wrap-distance-bottom:0pt;mso-wrap-distance-top:0pt;z-index:251662336;mso-width-relative:page;mso-height-relative:page;" o:ole="t" filled="f" o:preferrelative="t" stroked="f" coordsize="21600,21600">
            <v:path/>
            <v:fill on="f" focussize="0,0"/>
            <v:stroke on="f" joinstyle="miter"/>
            <v:imagedata r:id="rId12" o:title=""/>
            <o:lock v:ext="edit" aspectratio="t"/>
            <w10:wrap type="topAndBottom"/>
          </v:shape>
          <o:OLEObject Type="Embed" ProgID="Excel.Chart.8" ShapeID="_x0000_s1031" DrawAspect="Content" ObjectID="_1468075726" r:id="rId11">
            <o:LockedField>false</o:LockedField>
          </o:OLEObject>
        </w:pict>
      </w:r>
    </w:p>
    <w:p>
      <w:pPr>
        <w:spacing w:line="600" w:lineRule="exact"/>
        <w:ind w:firstLine="640" w:firstLineChars="200"/>
        <w:outlineLvl w:val="1"/>
        <w:rPr>
          <w:rStyle w:val="28"/>
          <w:rFonts w:ascii="黑体" w:hAnsi="黑体" w:eastAsia="黑体"/>
          <w:b w:val="0"/>
        </w:rPr>
      </w:pPr>
      <w:r>
        <w:rPr>
          <w:rFonts w:hint="eastAsia" w:ascii="黑体" w:hAnsi="黑体" w:eastAsia="黑体"/>
          <w:color w:val="000000"/>
          <w:sz w:val="32"/>
          <w:szCs w:val="32"/>
        </w:rPr>
        <w:t>四、财</w:t>
      </w:r>
      <w:r>
        <w:rPr>
          <w:rStyle w:val="28"/>
          <w:rFonts w:hint="eastAsia" w:ascii="黑体" w:hAnsi="黑体" w:eastAsia="黑体"/>
          <w:b w:val="0"/>
        </w:rPr>
        <w:t>政拨款收入支出决算总体情况说明</w:t>
      </w:r>
      <w:bookmarkEnd w:id="41"/>
      <w:bookmarkEnd w:id="42"/>
      <w:bookmarkEnd w:id="43"/>
    </w:p>
    <w:p>
      <w:pPr>
        <w:spacing w:line="600" w:lineRule="exact"/>
        <w:ind w:firstLine="640" w:firstLineChars="200"/>
        <w:rPr>
          <w:rFonts w:ascii="仿宋_GB2312" w:hAnsi="仿宋_GB2312" w:eastAsia="仿宋_GB2312" w:cs="仿宋_GB2312"/>
          <w:color w:val="000000"/>
          <w:sz w:val="32"/>
          <w:szCs w:val="32"/>
        </w:rPr>
      </w:pPr>
      <w:r>
        <w:rPr>
          <w:rFonts w:hint="eastAsia" w:ascii="仿宋_GB2312" w:eastAsia="仿宋_GB2312"/>
          <w:color w:val="000000"/>
          <w:sz w:val="32"/>
          <w:szCs w:val="32"/>
        </w:rPr>
        <w:t>2018年检察院财政拨款收入1029.22万元，</w:t>
      </w:r>
      <w:r>
        <w:rPr>
          <w:rFonts w:hint="eastAsia" w:ascii="仿宋_GB2312" w:hAnsi="仿宋_GB2312" w:eastAsia="仿宋_GB2312" w:cs="仿宋_GB2312"/>
          <w:color w:val="000000"/>
          <w:sz w:val="32"/>
          <w:szCs w:val="32"/>
        </w:rPr>
        <w:t>支出905.43万元，与2017年相比，收入增长8%，支出增长19%，主要变动原因是人员增加，相应工资等费用增加。</w:t>
      </w:r>
    </w:p>
    <w:p>
      <w:pPr>
        <w:spacing w:line="600" w:lineRule="exact"/>
        <w:ind w:firstLine="600" w:firstLineChars="200"/>
        <w:jc w:val="left"/>
        <w:rPr>
          <w:rFonts w:ascii="仿宋_GB2312" w:hAnsi="仿宋" w:eastAsia="仿宋_GB2312"/>
          <w:color w:val="000000"/>
          <w:sz w:val="30"/>
          <w:szCs w:val="30"/>
        </w:rPr>
      </w:pPr>
      <w:r>
        <w:rPr>
          <w:rFonts w:ascii="仿宋_GB2312" w:hAnsi="仿宋" w:eastAsia="仿宋_GB2312"/>
          <w:color w:val="000000"/>
          <w:sz w:val="30"/>
          <w:szCs w:val="30"/>
        </w:rPr>
        <w:pict>
          <v:shape id="_x0000_s1034" o:spid="_x0000_s1034" o:spt="75" type="#_x0000_t75" style="position:absolute;left:0pt;margin-left:31.8pt;margin-top:12.25pt;height:194.55pt;width:318.85pt;z-index:251663360;mso-width-relative:page;mso-height-relative:page;" o:ole="t" filled="f" o:preferrelative="t" stroked="f" coordsize="21600,21600">
            <v:path/>
            <v:fill on="f" focussize="0,0"/>
            <v:stroke on="f" joinstyle="miter"/>
            <v:imagedata r:id="rId14" o:title=""/>
            <o:lock v:ext="edit" aspectratio="t"/>
          </v:shape>
          <o:OLEObject Type="Embed" ProgID="Excel.Chart.8" ShapeID="_x0000_s1034" DrawAspect="Content" ObjectID="_1468075727" r:id="rId13">
            <o:LockedField>false</o:LockedField>
          </o:OLEObject>
        </w:pict>
      </w:r>
    </w:p>
    <w:p>
      <w:pPr>
        <w:pStyle w:val="2"/>
        <w:ind w:firstLine="600"/>
        <w:rPr>
          <w:rFonts w:ascii="仿宋_GB2312" w:hAnsi="仿宋" w:eastAsia="仿宋_GB2312"/>
          <w:color w:val="000000"/>
          <w:sz w:val="30"/>
          <w:szCs w:val="30"/>
        </w:rPr>
      </w:pPr>
    </w:p>
    <w:p>
      <w:pPr>
        <w:pStyle w:val="2"/>
        <w:ind w:firstLine="600"/>
        <w:rPr>
          <w:rFonts w:ascii="仿宋_GB2312" w:hAnsi="仿宋" w:eastAsia="仿宋_GB2312"/>
          <w:color w:val="000000"/>
          <w:sz w:val="30"/>
          <w:szCs w:val="30"/>
        </w:rPr>
      </w:pPr>
    </w:p>
    <w:p>
      <w:pPr>
        <w:pStyle w:val="2"/>
        <w:ind w:firstLine="600"/>
        <w:rPr>
          <w:rFonts w:ascii="仿宋_GB2312" w:hAnsi="仿宋" w:eastAsia="仿宋_GB2312"/>
          <w:color w:val="000000"/>
          <w:sz w:val="30"/>
          <w:szCs w:val="30"/>
        </w:rPr>
      </w:pPr>
    </w:p>
    <w:p>
      <w:pPr>
        <w:pStyle w:val="2"/>
        <w:ind w:firstLine="600"/>
        <w:rPr>
          <w:rFonts w:ascii="仿宋_GB2312" w:hAnsi="仿宋" w:eastAsia="仿宋_GB2312"/>
          <w:color w:val="000000"/>
          <w:sz w:val="30"/>
          <w:szCs w:val="30"/>
        </w:rPr>
      </w:pPr>
    </w:p>
    <w:p>
      <w:pPr>
        <w:pStyle w:val="2"/>
        <w:ind w:firstLine="600"/>
        <w:rPr>
          <w:rFonts w:ascii="仿宋_GB2312" w:hAnsi="仿宋" w:eastAsia="仿宋_GB2312"/>
          <w:color w:val="000000"/>
          <w:sz w:val="30"/>
          <w:szCs w:val="30"/>
        </w:rPr>
      </w:pP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（图4：财政拨款收、支决算总计变动情况）（柱状图）</w:t>
      </w:r>
    </w:p>
    <w:p>
      <w:pPr>
        <w:spacing w:line="600" w:lineRule="exact"/>
        <w:ind w:firstLine="640"/>
        <w:rPr>
          <w:rFonts w:ascii="仿宋" w:hAnsi="仿宋" w:eastAsia="仿宋"/>
          <w:b/>
          <w:color w:val="00B050"/>
          <w:sz w:val="32"/>
          <w:szCs w:val="32"/>
        </w:rPr>
      </w:pPr>
      <w:r>
        <w:rPr>
          <w:rFonts w:hint="eastAsia" w:ascii="仿宋" w:hAnsi="仿宋" w:eastAsia="仿宋"/>
          <w:b/>
          <w:color w:val="000000" w:themeColor="text1"/>
          <w:sz w:val="32"/>
          <w:szCs w:val="32"/>
        </w:rPr>
        <w:t>（除国有资本经营预算外，数据来源于财决</w:t>
      </w:r>
      <w:r>
        <w:rPr>
          <w:rFonts w:ascii="仿宋" w:hAnsi="仿宋" w:eastAsia="仿宋"/>
          <w:b/>
          <w:color w:val="000000" w:themeColor="text1"/>
          <w:sz w:val="32"/>
          <w:szCs w:val="32"/>
        </w:rPr>
        <w:t>Z01-1</w:t>
      </w:r>
      <w:r>
        <w:rPr>
          <w:rFonts w:hint="eastAsia" w:ascii="仿宋" w:hAnsi="仿宋" w:eastAsia="仿宋"/>
          <w:b/>
          <w:color w:val="000000" w:themeColor="text1"/>
          <w:sz w:val="32"/>
          <w:szCs w:val="32"/>
        </w:rPr>
        <w:t>表，口径为“总计”数+国有资本经营预算。）</w:t>
      </w:r>
    </w:p>
    <w:p>
      <w:pPr>
        <w:spacing w:line="600" w:lineRule="exact"/>
        <w:ind w:firstLine="640" w:firstLineChars="200"/>
        <w:outlineLvl w:val="1"/>
        <w:rPr>
          <w:rStyle w:val="28"/>
          <w:rFonts w:ascii="黑体" w:hAnsi="黑体" w:eastAsia="黑体"/>
          <w:b w:val="0"/>
        </w:rPr>
      </w:pPr>
      <w:bookmarkStart w:id="44" w:name="_Toc15396607"/>
      <w:bookmarkStart w:id="45" w:name="_Toc15377209"/>
      <w:bookmarkStart w:id="46" w:name="_Toc28356"/>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8"/>
          <w:rFonts w:hint="eastAsia" w:ascii="黑体" w:hAnsi="黑体" w:eastAsia="黑体"/>
          <w:b w:val="0"/>
        </w:rPr>
        <w:t>般公共预算财政拨款支出决算情况说明</w:t>
      </w:r>
      <w:bookmarkEnd w:id="44"/>
      <w:bookmarkEnd w:id="45"/>
      <w:bookmarkEnd w:id="46"/>
    </w:p>
    <w:p>
      <w:pPr>
        <w:spacing w:line="600" w:lineRule="exact"/>
        <w:ind w:firstLine="643" w:firstLineChars="200"/>
        <w:rPr>
          <w:rFonts w:ascii="楷体_GB2312" w:hAnsi="楷体_GB2312" w:eastAsia="楷体_GB2312" w:cs="楷体_GB2312"/>
          <w:b/>
          <w:bCs/>
          <w:color w:val="000000"/>
          <w:sz w:val="32"/>
          <w:szCs w:val="32"/>
        </w:rPr>
      </w:pPr>
      <w:bookmarkStart w:id="47" w:name="_Toc15377210"/>
      <w:r>
        <w:rPr>
          <w:rFonts w:hint="eastAsia" w:ascii="楷体_GB2312" w:hAnsi="楷体_GB2312" w:eastAsia="楷体_GB2312" w:cs="楷体_GB2312"/>
          <w:b/>
          <w:bCs/>
          <w:color w:val="000000"/>
          <w:sz w:val="32"/>
          <w:szCs w:val="32"/>
        </w:rPr>
        <w:t>（一）一般公共预算财政拨款支出决算总体情况</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eastAsia="仿宋_GB2312"/>
          <w:color w:val="000000"/>
          <w:sz w:val="32"/>
          <w:szCs w:val="32"/>
        </w:rPr>
        <w:t>检察院</w:t>
      </w:r>
      <w:r>
        <w:rPr>
          <w:rFonts w:hint="eastAsia" w:ascii="仿宋_GB2312" w:hAnsi="仿宋_GB2312" w:eastAsia="仿宋_GB2312" w:cs="仿宋_GB2312"/>
          <w:color w:val="000000"/>
          <w:sz w:val="32"/>
          <w:szCs w:val="32"/>
        </w:rPr>
        <w:t>2018年一般公共预算财政拨款支出905.43万元，占本年支出合计的100%。</w:t>
      </w:r>
      <w:r>
        <w:rPr>
          <w:rFonts w:hint="eastAsia" w:ascii="仿宋_GB2312" w:eastAsia="仿宋_GB2312"/>
          <w:color w:val="000000"/>
          <w:sz w:val="32"/>
          <w:szCs w:val="32"/>
        </w:rPr>
        <w:t>一般公共预算财政拨款收入为1029.22万元，与2017年相比增加78.99万元，增长8%。</w:t>
      </w:r>
      <w:r>
        <w:rPr>
          <w:rFonts w:hint="eastAsia" w:ascii="仿宋_GB2312" w:hAnsi="仿宋_GB2312" w:eastAsia="仿宋_GB2312" w:cs="仿宋_GB2312"/>
          <w:color w:val="000000"/>
          <w:sz w:val="32"/>
          <w:szCs w:val="32"/>
        </w:rPr>
        <w:t>主要变动原因是人员增加，相应工资等费用增加。</w:t>
      </w:r>
    </w:p>
    <w:p>
      <w:pPr>
        <w:spacing w:line="600" w:lineRule="exact"/>
        <w:ind w:firstLine="640" w:firstLineChars="200"/>
        <w:jc w:val="left"/>
        <w:rPr>
          <w:rFonts w:ascii="仿宋_GB2312" w:eastAsia="仿宋_GB2312"/>
          <w:color w:val="000000"/>
          <w:sz w:val="32"/>
          <w:szCs w:val="32"/>
        </w:rPr>
      </w:pPr>
    </w:p>
    <w:p>
      <w:pPr>
        <w:pStyle w:val="2"/>
        <w:ind w:firstLine="640"/>
        <w:rPr>
          <w:rFonts w:ascii="仿宋_GB2312" w:eastAsia="仿宋_GB2312"/>
          <w:color w:val="000000"/>
          <w:sz w:val="32"/>
          <w:szCs w:val="32"/>
        </w:rPr>
      </w:pPr>
    </w:p>
    <w:p>
      <w:pPr>
        <w:pStyle w:val="2"/>
        <w:ind w:firstLine="600"/>
        <w:rPr>
          <w:rFonts w:ascii="仿宋_GB2312" w:eastAsia="仿宋_GB2312"/>
          <w:color w:val="000000"/>
          <w:sz w:val="32"/>
          <w:szCs w:val="32"/>
        </w:rPr>
      </w:pPr>
      <w:r>
        <w:rPr>
          <w:rFonts w:ascii="仿宋_GB2312" w:hAnsi="仿宋" w:eastAsia="仿宋_GB2312"/>
          <w:color w:val="000000"/>
          <w:sz w:val="30"/>
          <w:szCs w:val="30"/>
        </w:rPr>
        <w:pict>
          <v:shape id="_x0000_s1039" o:spid="_x0000_s1039" o:spt="75" type="#_x0000_t75" style="position:absolute;left:0pt;margin-left:36.4pt;margin-top:-3pt;height:229.8pt;width:363.3pt;z-index:251664384;mso-width-relative:page;mso-height-relative:page;" o:ole="t" filled="f" o:preferrelative="t" stroked="f" coordsize="21600,21600">
            <v:path/>
            <v:fill on="f" focussize="0,0"/>
            <v:stroke on="f" joinstyle="miter"/>
            <v:imagedata r:id="rId16" o:title=""/>
            <o:lock v:ext="edit" aspectratio="t"/>
          </v:shape>
          <o:OLEObject Type="Embed" ProgID="Excel.Chart.8" ShapeID="_x0000_s1039" DrawAspect="Content" ObjectID="_1468075728" r:id="rId15">
            <o:LockedField>false</o:LockedField>
          </o:OLEObject>
        </w:pict>
      </w:r>
    </w:p>
    <w:p>
      <w:pPr>
        <w:pStyle w:val="2"/>
        <w:ind w:firstLine="640"/>
        <w:rPr>
          <w:rFonts w:ascii="仿宋_GB2312" w:eastAsia="仿宋_GB2312"/>
          <w:color w:val="000000"/>
          <w:sz w:val="32"/>
          <w:szCs w:val="32"/>
        </w:rPr>
      </w:pPr>
    </w:p>
    <w:p>
      <w:pPr>
        <w:pStyle w:val="2"/>
        <w:ind w:firstLine="640"/>
        <w:rPr>
          <w:rFonts w:ascii="仿宋_GB2312" w:eastAsia="仿宋_GB2312"/>
          <w:color w:val="000000"/>
          <w:sz w:val="32"/>
          <w:szCs w:val="32"/>
        </w:rPr>
      </w:pPr>
    </w:p>
    <w:p>
      <w:pPr>
        <w:pStyle w:val="2"/>
        <w:ind w:firstLine="640"/>
        <w:rPr>
          <w:rFonts w:ascii="仿宋_GB2312" w:eastAsia="仿宋_GB2312"/>
          <w:color w:val="000000"/>
          <w:sz w:val="32"/>
          <w:szCs w:val="32"/>
        </w:rPr>
      </w:pPr>
    </w:p>
    <w:p>
      <w:pPr>
        <w:pStyle w:val="2"/>
        <w:ind w:firstLine="640"/>
        <w:rPr>
          <w:rFonts w:ascii="仿宋_GB2312" w:eastAsia="仿宋_GB2312"/>
          <w:color w:val="000000"/>
          <w:sz w:val="32"/>
          <w:szCs w:val="32"/>
        </w:rPr>
      </w:pPr>
    </w:p>
    <w:p>
      <w:pPr>
        <w:spacing w:line="600" w:lineRule="exact"/>
        <w:rPr>
          <w:rFonts w:ascii="仿宋" w:hAnsi="仿宋" w:eastAsia="仿宋"/>
          <w:color w:val="000000" w:themeColor="text1"/>
          <w:sz w:val="32"/>
          <w:szCs w:val="32"/>
        </w:rPr>
      </w:pPr>
    </w:p>
    <w:p>
      <w:pPr>
        <w:spacing w:line="60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（图5：一般公共预算财政拨款支出决算变动情况）（柱状图）</w:t>
      </w:r>
    </w:p>
    <w:p>
      <w:pPr>
        <w:spacing w:line="600" w:lineRule="exact"/>
        <w:ind w:firstLine="643" w:firstLineChars="200"/>
        <w:outlineLvl w:val="2"/>
        <w:rPr>
          <w:rFonts w:ascii="仿宋" w:hAnsi="仿宋" w:eastAsia="仿宋"/>
          <w:b/>
          <w:color w:val="000000"/>
          <w:sz w:val="32"/>
          <w:szCs w:val="32"/>
        </w:rPr>
      </w:pPr>
      <w:r>
        <w:rPr>
          <w:rFonts w:hint="eastAsia" w:ascii="楷体_GB2312" w:hAnsi="楷体_GB2312" w:eastAsia="楷体_GB2312" w:cs="楷体_GB2312"/>
          <w:b/>
          <w:bCs/>
          <w:color w:val="000000"/>
          <w:sz w:val="32"/>
          <w:szCs w:val="32"/>
        </w:rPr>
        <w:t>（二）</w:t>
      </w:r>
      <w:r>
        <w:rPr>
          <w:rFonts w:hint="eastAsia" w:ascii="仿宋" w:hAnsi="仿宋" w:eastAsia="仿宋"/>
          <w:b/>
          <w:color w:val="000000"/>
          <w:sz w:val="32"/>
          <w:szCs w:val="32"/>
        </w:rPr>
        <w:t>一般公共预算财政拨款支出决算结构情况</w:t>
      </w:r>
    </w:p>
    <w:p>
      <w:pPr>
        <w:spacing w:line="600" w:lineRule="exact"/>
        <w:ind w:firstLine="640"/>
        <w:rPr>
          <w:rFonts w:ascii="仿宋" w:hAnsi="仿宋" w:eastAsia="仿宋"/>
          <w:b/>
          <w:color w:val="000000" w:themeColor="text1"/>
          <w:sz w:val="32"/>
          <w:szCs w:val="32"/>
        </w:rPr>
      </w:pPr>
      <w:r>
        <w:rPr>
          <w:rFonts w:hint="eastAsia" w:ascii="仿宋_GB2312" w:hAnsi="仿宋_GB2312" w:eastAsia="仿宋_GB2312" w:cs="仿宋_GB2312"/>
          <w:color w:val="000000"/>
          <w:sz w:val="32"/>
          <w:szCs w:val="32"/>
        </w:rPr>
        <w:t>2018年一般公共预算财</w:t>
      </w:r>
      <w:r>
        <w:rPr>
          <w:rFonts w:hint="eastAsia" w:ascii="仿宋_GB2312" w:hAnsi="仿宋_GB2312" w:eastAsia="仿宋_GB2312" w:cs="仿宋_GB2312"/>
          <w:color w:val="000000" w:themeColor="text1"/>
          <w:sz w:val="32"/>
          <w:szCs w:val="32"/>
        </w:rPr>
        <w:t>政拨款支出905.43万元，主要用于以下方面:</w:t>
      </w:r>
      <w:r>
        <w:rPr>
          <w:rFonts w:hint="eastAsia" w:ascii="仿宋_GB2312" w:hAnsi="仿宋_GB2312" w:eastAsia="仿宋_GB2312" w:cs="仿宋_GB2312"/>
          <w:b/>
          <w:color w:val="000000" w:themeColor="text1"/>
          <w:sz w:val="32"/>
          <w:szCs w:val="32"/>
        </w:rPr>
        <w:t>公共安全</w:t>
      </w:r>
      <w:r>
        <w:rPr>
          <w:rFonts w:hint="eastAsia" w:ascii="仿宋_GB2312" w:hAnsi="仿宋_GB2312" w:eastAsia="仿宋_GB2312" w:cs="仿宋_GB2312"/>
          <w:color w:val="000000" w:themeColor="text1"/>
          <w:sz w:val="32"/>
          <w:szCs w:val="32"/>
        </w:rPr>
        <w:t>支出756.60万元，占83.56%；</w:t>
      </w:r>
      <w:r>
        <w:rPr>
          <w:rFonts w:hint="eastAsia" w:ascii="仿宋_GB2312" w:hAnsi="仿宋_GB2312" w:eastAsia="仿宋_GB2312" w:cs="仿宋_GB2312"/>
          <w:b/>
          <w:color w:val="000000" w:themeColor="text1"/>
          <w:sz w:val="32"/>
          <w:szCs w:val="32"/>
        </w:rPr>
        <w:t>社会保障和就业（类）</w:t>
      </w:r>
      <w:r>
        <w:rPr>
          <w:rFonts w:hint="eastAsia" w:ascii="仿宋_GB2312" w:hAnsi="仿宋_GB2312" w:eastAsia="仿宋_GB2312" w:cs="仿宋_GB2312"/>
          <w:color w:val="000000" w:themeColor="text1"/>
          <w:sz w:val="32"/>
          <w:szCs w:val="32"/>
        </w:rPr>
        <w:t>支出68.39万元，占7.55%；</w:t>
      </w:r>
      <w:r>
        <w:rPr>
          <w:rFonts w:hint="eastAsia" w:ascii="仿宋_GB2312" w:hAnsi="仿宋_GB2312" w:eastAsia="仿宋_GB2312" w:cs="仿宋_GB2312"/>
          <w:b/>
          <w:color w:val="000000" w:themeColor="text1"/>
          <w:sz w:val="32"/>
          <w:szCs w:val="32"/>
        </w:rPr>
        <w:t>医疗卫生</w:t>
      </w:r>
      <w:r>
        <w:rPr>
          <w:rFonts w:hint="eastAsia" w:ascii="仿宋_GB2312" w:hAnsi="仿宋_GB2312" w:eastAsia="仿宋_GB2312" w:cs="仿宋_GB2312"/>
          <w:color w:val="000000" w:themeColor="text1"/>
          <w:sz w:val="32"/>
          <w:szCs w:val="32"/>
        </w:rPr>
        <w:t>支出27.01万元，占2.98%；</w:t>
      </w:r>
      <w:r>
        <w:rPr>
          <w:rFonts w:hint="eastAsia" w:ascii="仿宋_GB2312" w:hAnsi="仿宋_GB2312" w:eastAsia="仿宋_GB2312" w:cs="仿宋_GB2312"/>
          <w:b/>
          <w:color w:val="000000" w:themeColor="text1"/>
          <w:sz w:val="32"/>
          <w:szCs w:val="32"/>
        </w:rPr>
        <w:t>住房保障</w:t>
      </w:r>
      <w:r>
        <w:rPr>
          <w:rFonts w:hint="eastAsia" w:ascii="仿宋_GB2312" w:hAnsi="仿宋_GB2312" w:eastAsia="仿宋_GB2312" w:cs="仿宋_GB2312"/>
          <w:color w:val="000000" w:themeColor="text1"/>
          <w:sz w:val="32"/>
          <w:szCs w:val="32"/>
        </w:rPr>
        <w:t>支出53.43万元，占5.91%。</w:t>
      </w:r>
    </w:p>
    <w:p>
      <w:pPr>
        <w:spacing w:line="600" w:lineRule="exact"/>
        <w:ind w:firstLine="602" w:firstLineChars="200"/>
        <w:rPr>
          <w:rFonts w:ascii="楷体_GB2312" w:hAnsi="楷体_GB2312" w:eastAsia="楷体_GB2312" w:cs="楷体_GB2312"/>
          <w:b/>
          <w:bCs/>
          <w:color w:val="000000"/>
          <w:sz w:val="32"/>
          <w:szCs w:val="32"/>
        </w:rPr>
      </w:pPr>
      <w:r>
        <w:rPr>
          <w:rFonts w:ascii="仿宋_GB2312" w:hAnsi="仿宋" w:eastAsia="仿宋_GB2312"/>
          <w:b/>
          <w:color w:val="000000"/>
          <w:sz w:val="30"/>
          <w:szCs w:val="30"/>
          <w:highlight w:val="yellow"/>
        </w:rPr>
        <w:pict>
          <v:shape id="对象 5" o:spid="_x0000_s1040" o:spt="75" type="#_x0000_t75" style="position:absolute;left:0pt;margin-left:18.4pt;margin-top:3.7pt;height:204.65pt;width:365.15pt;z-index:251665408;mso-width-relative:page;mso-height-relative:page;" o:ole="t" filled="f" o:preferrelative="t" stroked="f" coordsize="21600,21600">
            <v:path/>
            <v:fill on="f" focussize="0,0"/>
            <v:stroke on="f" joinstyle="miter"/>
            <v:imagedata r:id="rId18" o:title=""/>
            <o:lock v:ext="edit" aspectratio="t"/>
          </v:shape>
          <o:OLEObject Type="Embed" ProgID="Excel.Chart.8" ShapeID="对象 5" DrawAspect="Content" ObjectID="_1468075729" r:id="rId17">
            <o:LockedField>false</o:LockedField>
          </o:OLEObject>
        </w:pict>
      </w:r>
    </w:p>
    <w:p>
      <w:pPr>
        <w:pStyle w:val="2"/>
        <w:ind w:firstLine="643"/>
        <w:rPr>
          <w:rFonts w:ascii="楷体_GB2312" w:hAnsi="楷体_GB2312" w:eastAsia="楷体_GB2312" w:cs="楷体_GB2312"/>
          <w:b/>
          <w:bCs/>
          <w:color w:val="000000"/>
          <w:sz w:val="32"/>
          <w:szCs w:val="32"/>
        </w:rPr>
      </w:pPr>
    </w:p>
    <w:p>
      <w:pPr>
        <w:pStyle w:val="2"/>
        <w:ind w:firstLine="643"/>
        <w:rPr>
          <w:rFonts w:ascii="楷体_GB2312" w:hAnsi="楷体_GB2312" w:eastAsia="楷体_GB2312" w:cs="楷体_GB2312"/>
          <w:b/>
          <w:bCs/>
          <w:color w:val="000000"/>
          <w:sz w:val="32"/>
          <w:szCs w:val="32"/>
        </w:rPr>
      </w:pPr>
    </w:p>
    <w:p>
      <w:pPr>
        <w:pStyle w:val="2"/>
        <w:ind w:firstLine="643"/>
        <w:rPr>
          <w:rFonts w:ascii="楷体_GB2312" w:hAnsi="楷体_GB2312" w:eastAsia="楷体_GB2312" w:cs="楷体_GB2312"/>
          <w:b/>
          <w:bCs/>
          <w:color w:val="000000"/>
          <w:sz w:val="32"/>
          <w:szCs w:val="32"/>
        </w:rPr>
      </w:pPr>
    </w:p>
    <w:p>
      <w:pPr>
        <w:spacing w:line="600" w:lineRule="exact"/>
        <w:ind w:firstLine="643" w:firstLineChars="200"/>
        <w:rPr>
          <w:rFonts w:ascii="楷体_GB2312" w:hAnsi="楷体_GB2312" w:eastAsia="楷体_GB2312" w:cs="楷体_GB2312"/>
          <w:b/>
          <w:bCs/>
          <w:color w:val="000000"/>
          <w:sz w:val="32"/>
          <w:szCs w:val="32"/>
        </w:rPr>
      </w:pPr>
    </w:p>
    <w:p>
      <w:pPr>
        <w:spacing w:line="600" w:lineRule="exact"/>
        <w:ind w:firstLine="643" w:firstLineChars="200"/>
        <w:rPr>
          <w:rFonts w:ascii="楷体_GB2312" w:hAnsi="楷体_GB2312" w:eastAsia="楷体_GB2312" w:cs="楷体_GB2312"/>
          <w:b/>
          <w:bCs/>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（三）一般公共预算财政拨款支出决算具体情况</w:t>
      </w:r>
    </w:p>
    <w:p>
      <w:pPr>
        <w:spacing w:line="600" w:lineRule="exact"/>
        <w:ind w:firstLine="643" w:firstLineChars="200"/>
        <w:outlineLvl w:val="2"/>
        <w:rPr>
          <w:rFonts w:ascii="仿宋_GB2312" w:hAnsi="仿宋_GB2312" w:eastAsia="仿宋_GB2312" w:cs="仿宋_GB2312"/>
          <w:color w:val="FF0000"/>
          <w:sz w:val="32"/>
          <w:szCs w:val="32"/>
        </w:rPr>
      </w:pPr>
      <w:bookmarkStart w:id="48" w:name="_Toc15377444"/>
      <w:bookmarkStart w:id="49" w:name="_Toc15377213"/>
      <w:bookmarkStart w:id="50" w:name="_Toc15378460"/>
      <w:r>
        <w:rPr>
          <w:rFonts w:hint="eastAsia" w:ascii="仿宋_GB2312" w:hAnsi="仿宋_GB2312" w:eastAsia="仿宋_GB2312" w:cs="仿宋_GB2312"/>
          <w:b/>
          <w:color w:val="000000" w:themeColor="text1"/>
          <w:sz w:val="32"/>
          <w:szCs w:val="32"/>
        </w:rPr>
        <w:t>2018年一般公共预算支出决算数为905.43</w:t>
      </w:r>
      <w:r>
        <w:rPr>
          <w:rFonts w:hint="eastAsia" w:ascii="仿宋_GB2312" w:hAnsi="仿宋_GB2312" w:eastAsia="仿宋_GB2312" w:cs="仿宋_GB2312"/>
          <w:color w:val="000000" w:themeColor="text1"/>
          <w:sz w:val="32"/>
          <w:szCs w:val="32"/>
        </w:rPr>
        <w:t>，</w:t>
      </w:r>
      <w:r>
        <w:rPr>
          <w:rStyle w:val="17"/>
          <w:rFonts w:hint="eastAsia" w:ascii="仿宋_GB2312" w:hAnsi="仿宋_GB2312" w:eastAsia="仿宋_GB2312" w:cs="仿宋_GB2312"/>
          <w:bCs/>
          <w:color w:val="000000" w:themeColor="text1"/>
          <w:sz w:val="32"/>
          <w:szCs w:val="32"/>
        </w:rPr>
        <w:t>完成</w:t>
      </w:r>
      <w:r>
        <w:rPr>
          <w:rStyle w:val="17"/>
          <w:rFonts w:hint="eastAsia" w:ascii="仿宋_GB2312" w:hAnsi="仿宋_GB2312" w:eastAsia="仿宋_GB2312" w:cs="仿宋_GB2312"/>
          <w:bCs/>
          <w:color w:val="000000"/>
          <w:sz w:val="32"/>
          <w:szCs w:val="32"/>
        </w:rPr>
        <w:t>预算88%。其中：</w:t>
      </w:r>
      <w:bookmarkEnd w:id="48"/>
      <w:bookmarkEnd w:id="49"/>
      <w:bookmarkEnd w:id="50"/>
    </w:p>
    <w:p>
      <w:pPr>
        <w:spacing w:line="600" w:lineRule="exact"/>
        <w:ind w:firstLine="700" w:firstLineChars="200"/>
        <w:jc w:val="left"/>
        <w:rPr>
          <w:rFonts w:ascii="仿宋_GB2312" w:hAnsi="仿宋_GB2312" w:eastAsia="仿宋_GB2312" w:cs="仿宋_GB2312"/>
          <w:spacing w:val="15"/>
          <w:kern w:val="0"/>
          <w:sz w:val="32"/>
          <w:szCs w:val="32"/>
        </w:rPr>
      </w:pPr>
      <w:r>
        <w:rPr>
          <w:rFonts w:hint="eastAsia" w:ascii="仿宋_GB2312" w:hAnsi="仿宋_GB2312" w:eastAsia="仿宋_GB2312" w:cs="仿宋_GB2312"/>
          <w:spacing w:val="15"/>
          <w:kern w:val="0"/>
          <w:sz w:val="32"/>
          <w:szCs w:val="32"/>
        </w:rPr>
        <w:t>1.公共安全支出:2018年决算数为756.60万元，完成预算86%，其中：行政运行（2040401）支出决算数为639.02万元，与2017年相比增加了101.73万元，增长19%；一般行政管理事务（2040402）支出决算数为117.58万元，与2017年相比增加了53.04万元，增长82%。</w:t>
      </w:r>
    </w:p>
    <w:p>
      <w:pPr>
        <w:spacing w:line="600" w:lineRule="exact"/>
        <w:ind w:firstLine="700" w:firstLineChars="200"/>
        <w:jc w:val="left"/>
        <w:rPr>
          <w:rFonts w:ascii="仿宋_GB2312" w:hAnsi="仿宋_GB2312" w:eastAsia="仿宋_GB2312" w:cs="仿宋_GB2312"/>
          <w:spacing w:val="15"/>
          <w:kern w:val="0"/>
          <w:sz w:val="32"/>
          <w:szCs w:val="32"/>
        </w:rPr>
      </w:pPr>
      <w:r>
        <w:rPr>
          <w:rFonts w:hint="eastAsia" w:ascii="仿宋_GB2312" w:hAnsi="仿宋_GB2312" w:eastAsia="仿宋_GB2312" w:cs="仿宋_GB2312"/>
          <w:spacing w:val="15"/>
          <w:kern w:val="0"/>
          <w:sz w:val="32"/>
          <w:szCs w:val="32"/>
        </w:rPr>
        <w:t>2.社会保障和就业支出:2018年决算数为68.39万元，完成预算100%，其中：机关事业单位基本养老保险缴费支出（2080505）决算数为48.84万元，与2017年相比减少了13.74万元，下降22%；机关事业单位职业年金缴费支出（2080506）决算数为19.55万元，与2017年相比减少了5.48万元，下降22%。</w:t>
      </w:r>
      <w:r>
        <w:rPr>
          <w:rFonts w:hint="eastAsia" w:ascii="仿宋_GB2312" w:hAnsi="仿宋_GB2312" w:eastAsia="仿宋_GB2312" w:cs="仿宋_GB2312"/>
          <w:spacing w:val="15"/>
          <w:kern w:val="0"/>
          <w:sz w:val="32"/>
          <w:szCs w:val="32"/>
        </w:rPr>
        <w:br w:type="textWrapping"/>
      </w:r>
      <w:r>
        <w:rPr>
          <w:rFonts w:hint="eastAsia" w:ascii="仿宋_GB2312" w:hAnsi="仿宋_GB2312" w:eastAsia="仿宋_GB2312" w:cs="仿宋_GB2312"/>
          <w:spacing w:val="15"/>
          <w:kern w:val="0"/>
          <w:sz w:val="32"/>
          <w:szCs w:val="32"/>
        </w:rPr>
        <w:t xml:space="preserve">   3.医疗卫生与计划生育支出:2018年决算数为27.01万元，完成预算100%，其中行政单位医疗（2101101）支出决算数为27.01万元，与2017年相比了增加了2.41万元，增长10%。</w:t>
      </w:r>
      <w:r>
        <w:rPr>
          <w:rFonts w:hint="eastAsia" w:ascii="仿宋_GB2312" w:hAnsi="仿宋_GB2312" w:eastAsia="仿宋_GB2312" w:cs="仿宋_GB2312"/>
          <w:spacing w:val="15"/>
          <w:kern w:val="0"/>
          <w:sz w:val="32"/>
          <w:szCs w:val="32"/>
        </w:rPr>
        <w:br w:type="textWrapping"/>
      </w:r>
      <w:r>
        <w:rPr>
          <w:rFonts w:hint="eastAsia" w:ascii="仿宋_GB2312" w:hAnsi="仿宋_GB2312" w:eastAsia="仿宋_GB2312" w:cs="仿宋_GB2312"/>
          <w:spacing w:val="15"/>
          <w:kern w:val="0"/>
          <w:sz w:val="32"/>
          <w:szCs w:val="32"/>
        </w:rPr>
        <w:t xml:space="preserve">    4.住房保障支出：2018年决算数为53.43万元，完成预算100%，其中：住房公积金（2210201）支出决算数为53.43万元，与2017年相比增加了8.69万元，增长19%。</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08</w:t>
      </w:r>
      <w:r>
        <w:rPr>
          <w:rFonts w:hint="eastAsia" w:ascii="仿宋" w:hAnsi="仿宋" w:eastAsia="仿宋"/>
          <w:b/>
          <w:color w:val="000000"/>
          <w:sz w:val="32"/>
          <w:szCs w:val="32"/>
        </w:rPr>
        <w:t>表，罗列全部功能分类科目至项级。上述“预算”口径为调整预算数。增减变动原因为决算数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和调整预算数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比较，与预算数持平可以不写原因。）</w:t>
      </w:r>
    </w:p>
    <w:bookmarkEnd w:id="47"/>
    <w:p>
      <w:pPr>
        <w:tabs>
          <w:tab w:val="right" w:pos="8306"/>
        </w:tabs>
        <w:spacing w:line="600" w:lineRule="exact"/>
        <w:ind w:firstLine="640"/>
        <w:outlineLvl w:val="1"/>
        <w:rPr>
          <w:rStyle w:val="28"/>
          <w:rFonts w:ascii="黑体" w:hAnsi="黑体" w:eastAsia="黑体"/>
          <w:b w:val="0"/>
        </w:rPr>
      </w:pPr>
      <w:bookmarkStart w:id="51" w:name="_Toc15377214"/>
      <w:bookmarkStart w:id="52" w:name="_Toc15396608"/>
      <w:bookmarkStart w:id="53" w:name="_Toc23517"/>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8"/>
          <w:rFonts w:hint="eastAsia" w:ascii="黑体" w:hAnsi="黑体" w:eastAsia="黑体"/>
          <w:b w:val="0"/>
        </w:rPr>
        <w:t>般公共预算财政拨款基本支出决算情况说明</w:t>
      </w:r>
      <w:bookmarkEnd w:id="51"/>
      <w:bookmarkEnd w:id="52"/>
      <w:bookmarkEnd w:id="53"/>
    </w:p>
    <w:p>
      <w:pPr>
        <w:spacing w:line="600" w:lineRule="exact"/>
        <w:ind w:firstLine="645"/>
        <w:rPr>
          <w:rFonts w:ascii="仿宋_GB2312" w:eastAsia="仿宋_GB2312"/>
          <w:color w:val="000000"/>
          <w:sz w:val="32"/>
          <w:szCs w:val="32"/>
        </w:rPr>
      </w:pPr>
      <w:r>
        <w:rPr>
          <w:rFonts w:hint="eastAsia" w:ascii="仿宋_GB2312" w:eastAsia="仿宋_GB2312"/>
          <w:color w:val="000000"/>
          <w:sz w:val="32"/>
          <w:szCs w:val="32"/>
        </w:rPr>
        <w:t>检察院2018年一般公共预算财政拨款基本支出787.85万元，其中：</w:t>
      </w:r>
    </w:p>
    <w:p>
      <w:pPr>
        <w:spacing w:line="600" w:lineRule="exact"/>
        <w:ind w:firstLine="662" w:firstLineChars="207"/>
        <w:rPr>
          <w:rFonts w:ascii="仿宋_GB2312" w:eastAsia="仿宋_GB2312"/>
          <w:color w:val="000000"/>
          <w:sz w:val="32"/>
          <w:szCs w:val="32"/>
        </w:rPr>
      </w:pPr>
      <w:r>
        <w:rPr>
          <w:rFonts w:hint="eastAsia" w:ascii="仿宋_GB2312" w:eastAsia="仿宋_GB2312"/>
          <w:color w:val="000000"/>
          <w:sz w:val="32"/>
          <w:szCs w:val="32"/>
        </w:rPr>
        <w:t>人员经费710.86万元，主要包括：基本工资:146.43万元；津贴补贴：180.41万元；奖金：12.63万元；伙食补助：0万元；机关事业单位基本养老保险缴费：48.84万元；职业年金缴费：19.55万元；职工基本医疗保险缴费27.01；其他社会保障缴费：2.63万元；抚恤金：0万元；救济费：3万元；生活补助：0.53万元；奖励金：214.82万元；住房公积金：53.43万元；其他对个人和家庭的补助支出：1.58万元。</w:t>
      </w:r>
      <w:r>
        <w:rPr>
          <w:rFonts w:hint="eastAsia" w:ascii="仿宋_GB2312" w:eastAsia="仿宋_GB2312"/>
          <w:color w:val="000000"/>
          <w:sz w:val="32"/>
          <w:szCs w:val="32"/>
        </w:rPr>
        <w:br w:type="textWrapping"/>
      </w:r>
      <w:r>
        <w:rPr>
          <w:rFonts w:hint="eastAsia" w:ascii="仿宋_GB2312" w:eastAsia="仿宋_GB2312"/>
          <w:color w:val="000000"/>
          <w:sz w:val="32"/>
          <w:szCs w:val="32"/>
        </w:rPr>
        <w:t>　　公用经费76.99万元，主要包括：办公费:25.15万元；印刷费：0.61万元；水费：0.39万元；电费：4.02万元；邮电费：3.62万元；差旅费：16.56万元；维修（护）费：0.6万元；培训费：0.15万元；公务接待费：0.53万元；被装购置费10.02万元；公务用车运行维护费：0.45万元；劳务费：14.89万元；其他商品和服务支出：0万元。</w:t>
      </w:r>
    </w:p>
    <w:p>
      <w:pPr>
        <w:spacing w:line="600" w:lineRule="exact"/>
        <w:ind w:firstLine="640"/>
        <w:rPr>
          <w:rFonts w:ascii="仿宋" w:hAnsi="仿宋" w:eastAsia="仿宋"/>
          <w:b/>
          <w:color w:val="FF0000"/>
          <w:sz w:val="32"/>
          <w:szCs w:val="32"/>
        </w:rPr>
      </w:pPr>
      <w:r>
        <w:rPr>
          <w:rFonts w:hint="eastAsia" w:ascii="仿宋" w:hAnsi="仿宋" w:eastAsia="仿宋"/>
          <w:b/>
          <w:color w:val="000000" w:themeColor="text1"/>
          <w:sz w:val="32"/>
          <w:szCs w:val="32"/>
        </w:rPr>
        <w:t>（数据来源财决</w:t>
      </w:r>
      <w:r>
        <w:rPr>
          <w:rFonts w:ascii="仿宋" w:hAnsi="仿宋" w:eastAsia="仿宋"/>
          <w:b/>
          <w:color w:val="000000" w:themeColor="text1"/>
          <w:sz w:val="32"/>
          <w:szCs w:val="32"/>
        </w:rPr>
        <w:t>0</w:t>
      </w:r>
      <w:r>
        <w:rPr>
          <w:rFonts w:hint="eastAsia" w:ascii="仿宋" w:hAnsi="仿宋" w:eastAsia="仿宋"/>
          <w:b/>
          <w:color w:val="000000" w:themeColor="text1"/>
          <w:sz w:val="32"/>
          <w:szCs w:val="32"/>
        </w:rPr>
        <w:t>7表，根据本部门实际支出情况罗列全部经济分类科目。）</w:t>
      </w:r>
    </w:p>
    <w:p>
      <w:pPr>
        <w:spacing w:line="600" w:lineRule="exact"/>
        <w:ind w:firstLine="640"/>
        <w:outlineLvl w:val="1"/>
        <w:rPr>
          <w:rStyle w:val="28"/>
          <w:rFonts w:ascii="黑体" w:hAnsi="黑体" w:eastAsia="黑体"/>
          <w:b w:val="0"/>
        </w:rPr>
      </w:pPr>
      <w:bookmarkStart w:id="54" w:name="_Toc15396609"/>
      <w:bookmarkStart w:id="55" w:name="_Toc15377215"/>
      <w:bookmarkStart w:id="56" w:name="_Toc17640"/>
      <w:r>
        <w:rPr>
          <w:rFonts w:hint="eastAsia" w:ascii="黑体" w:eastAsia="黑体"/>
          <w:color w:val="000000"/>
          <w:sz w:val="32"/>
          <w:szCs w:val="32"/>
        </w:rPr>
        <w:t>七、</w:t>
      </w:r>
      <w:r>
        <w:rPr>
          <w:rStyle w:val="28"/>
          <w:rFonts w:hint="eastAsia" w:ascii="黑体" w:hAnsi="黑体" w:eastAsia="黑体"/>
        </w:rPr>
        <w:t>“</w:t>
      </w:r>
      <w:r>
        <w:rPr>
          <w:rStyle w:val="28"/>
          <w:rFonts w:hint="eastAsia" w:ascii="黑体" w:hAnsi="黑体" w:eastAsia="黑体"/>
          <w:b w:val="0"/>
        </w:rPr>
        <w:t>三公”经费财政拨款支出决算情况说明</w:t>
      </w:r>
      <w:bookmarkEnd w:id="54"/>
      <w:bookmarkEnd w:id="55"/>
      <w:bookmarkEnd w:id="56"/>
    </w:p>
    <w:p>
      <w:pPr>
        <w:spacing w:line="600" w:lineRule="exact"/>
        <w:ind w:firstLine="64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（一）“三公”经费财政拨款支出决算总体情况说明</w:t>
      </w:r>
    </w:p>
    <w:p>
      <w:pPr>
        <w:spacing w:line="600" w:lineRule="exact"/>
        <w:ind w:firstLine="662" w:firstLineChars="207"/>
        <w:rPr>
          <w:rFonts w:ascii="仿宋_GB2312" w:eastAsia="仿宋_GB2312"/>
          <w:color w:val="000000"/>
          <w:sz w:val="32"/>
          <w:szCs w:val="32"/>
        </w:rPr>
      </w:pPr>
      <w:r>
        <w:rPr>
          <w:rFonts w:hint="eastAsia" w:ascii="仿宋_GB2312" w:eastAsia="仿宋_GB2312"/>
          <w:color w:val="000000"/>
          <w:sz w:val="32"/>
          <w:szCs w:val="32"/>
        </w:rPr>
        <w:t>检察院2018年度“三公”经费财政拨款支出决算为18.2万元，完成预算100%，决算数与预算数持平。</w:t>
      </w:r>
    </w:p>
    <w:p>
      <w:pPr>
        <w:spacing w:line="600" w:lineRule="exact"/>
        <w:ind w:firstLine="640"/>
        <w:rPr>
          <w:rFonts w:ascii="仿宋" w:hAnsi="仿宋" w:eastAsia="仿宋"/>
          <w:b/>
          <w:color w:val="000000" w:themeColor="text1"/>
          <w:sz w:val="32"/>
          <w:szCs w:val="32"/>
        </w:rPr>
      </w:pPr>
      <w:r>
        <w:rPr>
          <w:rFonts w:hint="eastAsia" w:ascii="仿宋" w:hAnsi="仿宋" w:eastAsia="仿宋"/>
          <w:b/>
          <w:color w:val="000000"/>
          <w:sz w:val="32"/>
          <w:szCs w:val="32"/>
        </w:rPr>
        <w:t>（上述“预算”口径为调整预</w:t>
      </w:r>
      <w:r>
        <w:rPr>
          <w:rFonts w:hint="eastAsia" w:ascii="仿宋" w:hAnsi="仿宋" w:eastAsia="仿宋"/>
          <w:b/>
          <w:color w:val="000000" w:themeColor="text1"/>
          <w:sz w:val="32"/>
          <w:szCs w:val="32"/>
        </w:rPr>
        <w:t>算数，包括政府性基金支出决算情况。）</w:t>
      </w:r>
    </w:p>
    <w:p>
      <w:pPr>
        <w:spacing w:line="600" w:lineRule="exact"/>
        <w:ind w:firstLine="64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（二）“三公”经费财政拨款支出决算具体情况说明</w:t>
      </w:r>
    </w:p>
    <w:p>
      <w:pPr>
        <w:spacing w:line="600" w:lineRule="exact"/>
        <w:ind w:firstLine="662" w:firstLineChars="207"/>
        <w:rPr>
          <w:rFonts w:ascii="仿宋_GB2312" w:eastAsia="仿宋_GB2312"/>
          <w:color w:val="000000"/>
          <w:sz w:val="32"/>
          <w:szCs w:val="32"/>
        </w:rPr>
      </w:pPr>
      <w:r>
        <w:rPr>
          <w:rFonts w:hint="eastAsia" w:ascii="仿宋_GB2312" w:eastAsia="仿宋_GB2312"/>
          <w:color w:val="000000"/>
          <w:sz w:val="32"/>
          <w:szCs w:val="32"/>
        </w:rPr>
        <w:t>2018年度“三公”经费财政拨款支出决算中，因公出国（境）费支出决算0万元，占0%；公务用车购置及运行维护费支出决算17.61万元，占97%；公务接待费支出决算0.59万元，占3%。具体情况如下：</w:t>
      </w:r>
    </w:p>
    <w:p>
      <w:pPr>
        <w:spacing w:line="600" w:lineRule="exact"/>
        <w:ind w:firstLine="621" w:firstLineChars="207"/>
        <w:rPr>
          <w:rFonts w:ascii="仿宋_GB2312" w:eastAsia="仿宋_GB2312"/>
          <w:color w:val="000000"/>
          <w:sz w:val="32"/>
          <w:szCs w:val="32"/>
        </w:rPr>
      </w:pPr>
      <w:r>
        <w:rPr>
          <w:rFonts w:ascii="仿宋_GB2312" w:hAnsi="仿宋" w:eastAsia="仿宋_GB2312"/>
          <w:color w:val="000000"/>
          <w:sz w:val="30"/>
          <w:szCs w:val="30"/>
        </w:rPr>
        <w:pict>
          <v:shape id="对象 6" o:spid="_x0000_s1042" o:spt="75" type="#_x0000_t75" style="position:absolute;left:0pt;margin-left:36.25pt;margin-top:12.9pt;height:205.4pt;width:340.2pt;z-index:251666432;mso-width-relative:page;mso-height-relative:page;" o:ole="t" filled="f" o:preferrelative="t" stroked="f" coordsize="21600,21600">
            <v:path/>
            <v:fill on="f" focussize="0,0"/>
            <v:stroke on="f" joinstyle="miter"/>
            <v:imagedata r:id="rId20" o:title=""/>
            <o:lock v:ext="edit" aspectratio="t"/>
          </v:shape>
          <o:OLEObject Type="Embed" ProgID="Excel.Chart.8" ShapeID="对象 6" DrawAspect="Content" ObjectID="_1468075730" r:id="rId19">
            <o:LockedField>false</o:LockedField>
          </o:OLEObject>
        </w:pict>
      </w:r>
    </w:p>
    <w:p>
      <w:pPr>
        <w:spacing w:line="600" w:lineRule="exact"/>
        <w:ind w:firstLine="662" w:firstLineChars="207"/>
        <w:rPr>
          <w:rFonts w:ascii="仿宋_GB2312" w:eastAsia="仿宋_GB2312"/>
          <w:color w:val="000000"/>
          <w:sz w:val="32"/>
          <w:szCs w:val="32"/>
        </w:rPr>
      </w:pPr>
    </w:p>
    <w:p>
      <w:pPr>
        <w:spacing w:line="600" w:lineRule="exact"/>
        <w:ind w:firstLine="662" w:firstLineChars="207"/>
        <w:rPr>
          <w:rFonts w:ascii="仿宋_GB2312" w:eastAsia="仿宋_GB2312"/>
          <w:color w:val="000000"/>
          <w:sz w:val="32"/>
          <w:szCs w:val="32"/>
        </w:rPr>
      </w:pPr>
    </w:p>
    <w:p>
      <w:pPr>
        <w:spacing w:line="600" w:lineRule="exact"/>
        <w:ind w:firstLine="662" w:firstLineChars="207"/>
        <w:rPr>
          <w:rFonts w:ascii="仿宋_GB2312" w:eastAsia="仿宋_GB2312"/>
          <w:color w:val="000000"/>
          <w:sz w:val="32"/>
          <w:szCs w:val="32"/>
        </w:rPr>
      </w:pPr>
    </w:p>
    <w:p>
      <w:pPr>
        <w:spacing w:line="600" w:lineRule="exact"/>
        <w:ind w:firstLine="662" w:firstLineChars="207"/>
        <w:rPr>
          <w:rFonts w:ascii="仿宋_GB2312" w:eastAsia="仿宋_GB2312"/>
          <w:color w:val="000000"/>
          <w:sz w:val="32"/>
          <w:szCs w:val="32"/>
        </w:rPr>
      </w:pPr>
    </w:p>
    <w:p>
      <w:pPr>
        <w:spacing w:line="600" w:lineRule="exact"/>
        <w:ind w:firstLine="662" w:firstLineChars="207"/>
        <w:rPr>
          <w:rFonts w:ascii="仿宋_GB2312" w:eastAsia="仿宋_GB2312"/>
          <w:color w:val="000000"/>
          <w:sz w:val="32"/>
          <w:szCs w:val="32"/>
        </w:rPr>
      </w:pPr>
    </w:p>
    <w:p>
      <w:pPr>
        <w:spacing w:line="600" w:lineRule="exact"/>
        <w:ind w:firstLine="662" w:firstLineChars="207"/>
        <w:rPr>
          <w:rFonts w:ascii="仿宋_GB2312" w:eastAsia="仿宋_GB2312"/>
          <w:color w:val="000000"/>
          <w:sz w:val="32"/>
          <w:szCs w:val="32"/>
        </w:rPr>
      </w:pPr>
    </w:p>
    <w:p>
      <w:pPr>
        <w:spacing w:line="600" w:lineRule="exact"/>
        <w:ind w:firstLine="662" w:firstLineChars="207"/>
        <w:rPr>
          <w:rFonts w:ascii="仿宋_GB2312" w:eastAsia="仿宋_GB2312"/>
          <w:color w:val="000000"/>
          <w:sz w:val="32"/>
          <w:szCs w:val="32"/>
        </w:rPr>
      </w:pPr>
      <w:r>
        <w:rPr>
          <w:rFonts w:hint="eastAsia" w:ascii="仿宋_GB2312" w:eastAsia="仿宋_GB2312"/>
          <w:color w:val="000000"/>
          <w:sz w:val="32"/>
          <w:szCs w:val="32"/>
        </w:rPr>
        <w:t>（图8：“三公”经费财政拨款支出结构）（饼状图）</w:t>
      </w:r>
    </w:p>
    <w:p>
      <w:pPr>
        <w:spacing w:line="600" w:lineRule="exact"/>
        <w:ind w:firstLine="640"/>
        <w:rPr>
          <w:rFonts w:ascii="仿宋_GB2312" w:eastAsia="仿宋_GB2312"/>
          <w:b/>
          <w:color w:val="000000"/>
          <w:sz w:val="32"/>
          <w:szCs w:val="32"/>
        </w:rPr>
      </w:pPr>
      <w:r>
        <w:rPr>
          <w:rFonts w:hint="eastAsia" w:ascii="仿宋_GB2312" w:eastAsia="仿宋_GB2312"/>
          <w:b/>
          <w:color w:val="000000"/>
          <w:sz w:val="32"/>
          <w:szCs w:val="32"/>
        </w:rPr>
        <w:t>1.因公出国（境）经费</w:t>
      </w:r>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8年因公出国（境）费0万元。全年安排因公出国（境）团组0次，出国（境）0人。</w:t>
      </w:r>
    </w:p>
    <w:p>
      <w:pPr>
        <w:spacing w:line="600" w:lineRule="exact"/>
        <w:ind w:firstLine="643" w:firstLineChars="200"/>
        <w:rPr>
          <w:rFonts w:ascii="仿宋_GB2312" w:eastAsia="仿宋_GB2312"/>
          <w:b/>
          <w:color w:val="000000"/>
          <w:sz w:val="32"/>
          <w:szCs w:val="32"/>
        </w:rPr>
      </w:pPr>
      <w:r>
        <w:rPr>
          <w:rFonts w:hint="eastAsia" w:ascii="仿宋_GB2312" w:eastAsia="仿宋_GB2312"/>
          <w:b/>
          <w:color w:val="000000"/>
          <w:sz w:val="32"/>
          <w:szCs w:val="32"/>
        </w:rPr>
        <w:t>2.公务用车购置及运行维护费</w:t>
      </w:r>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8年公务用车购置及运行维护费17.61万元,其中：公务用车购置支出0万元。截至2018年12月底，单位共有公务用车8辆，</w:t>
      </w:r>
      <w:r>
        <w:rPr>
          <w:rFonts w:hint="eastAsia" w:ascii="仿宋_GB2312" w:eastAsia="仿宋_GB2312"/>
          <w:sz w:val="32"/>
          <w:szCs w:val="32"/>
        </w:rPr>
        <w:t>其中：轿车5</w:t>
      </w:r>
      <w:r>
        <w:rPr>
          <w:rFonts w:hint="eastAsia" w:ascii="仿宋_GB2312" w:eastAsia="仿宋_GB2312"/>
          <w:color w:val="000000"/>
          <w:sz w:val="32"/>
          <w:szCs w:val="32"/>
        </w:rPr>
        <w:t>辆、越野车2辆、载客汽车1辆。</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公务用车运行维护费支出17.61万元。</w:t>
      </w:r>
      <w:r>
        <w:rPr>
          <w:rFonts w:hint="eastAsia" w:ascii="仿宋_GB2312" w:eastAsia="仿宋_GB2312"/>
          <w:sz w:val="32"/>
          <w:szCs w:val="32"/>
        </w:rPr>
        <w:t>主要用于办公、办案用车等所需的公务用车燃料费、维修费、过</w:t>
      </w:r>
      <w:r>
        <w:rPr>
          <w:rFonts w:hint="eastAsia" w:ascii="仿宋_GB2312" w:eastAsia="仿宋_GB2312"/>
          <w:color w:val="000000"/>
          <w:sz w:val="32"/>
          <w:szCs w:val="32"/>
        </w:rPr>
        <w:t>路过桥费、保险费等支出。主要原因是2018年案件数量增加，相应出差增多，办案车辆相关费用增加。</w:t>
      </w:r>
    </w:p>
    <w:p>
      <w:pPr>
        <w:spacing w:line="600" w:lineRule="exact"/>
        <w:ind w:firstLine="643" w:firstLineChars="200"/>
        <w:rPr>
          <w:rFonts w:ascii="仿宋_GB2312" w:eastAsia="仿宋_GB2312"/>
          <w:b/>
          <w:color w:val="000000"/>
          <w:sz w:val="32"/>
          <w:szCs w:val="32"/>
        </w:rPr>
      </w:pPr>
      <w:r>
        <w:rPr>
          <w:rFonts w:hint="eastAsia" w:ascii="仿宋_GB2312" w:eastAsia="仿宋_GB2312"/>
          <w:b/>
          <w:color w:val="000000"/>
          <w:sz w:val="32"/>
          <w:szCs w:val="32"/>
        </w:rPr>
        <w:t>3.公务接待费</w:t>
      </w:r>
    </w:p>
    <w:p>
      <w:pPr>
        <w:spacing w:line="600" w:lineRule="exact"/>
        <w:ind w:firstLine="640"/>
        <w:outlineLvl w:val="1"/>
        <w:rPr>
          <w:rFonts w:ascii="仿宋_GB2312" w:eastAsia="仿宋_GB2312"/>
          <w:sz w:val="32"/>
          <w:szCs w:val="32"/>
        </w:rPr>
      </w:pPr>
      <w:bookmarkStart w:id="57" w:name="_Toc23350"/>
      <w:r>
        <w:rPr>
          <w:rFonts w:hint="eastAsia" w:ascii="仿宋_GB2312" w:eastAsia="仿宋_GB2312"/>
          <w:sz w:val="32"/>
          <w:szCs w:val="32"/>
        </w:rPr>
        <w:t>2018年公务接待费0.59万元。主要用于执行公务、开展业务活动开支的交通费、住宿费、用餐费等。国内公务接待 ，共计支出0.59万元，具体内容包括：接待资阳市雁江区检察院到我院开展援藏调研一行人，共计金额0.29万元；慰问老干部餐费，共计金额0.15万元；支付省院调研综治工作，共计金额0.08万元；支付办案业务接待费共计0.07万元。</w:t>
      </w:r>
      <w:bookmarkEnd w:id="57"/>
      <w:bookmarkStart w:id="58" w:name="_Toc15377218"/>
      <w:bookmarkStart w:id="59" w:name="_Toc15396610"/>
      <w:bookmarkStart w:id="60" w:name="_Toc8450"/>
    </w:p>
    <w:p>
      <w:pPr>
        <w:spacing w:line="600" w:lineRule="exact"/>
        <w:ind w:firstLine="640"/>
        <w:outlineLvl w:val="1"/>
        <w:rPr>
          <w:rStyle w:val="28"/>
          <w:rFonts w:ascii="黑体" w:hAnsi="黑体" w:eastAsia="黑体"/>
        </w:rPr>
      </w:pPr>
      <w:r>
        <w:rPr>
          <w:rFonts w:hint="eastAsia" w:ascii="黑体" w:eastAsia="黑体"/>
          <w:color w:val="000000"/>
          <w:sz w:val="32"/>
          <w:szCs w:val="32"/>
        </w:rPr>
        <w:t>八、</w:t>
      </w:r>
      <w:r>
        <w:rPr>
          <w:rStyle w:val="28"/>
          <w:rFonts w:hint="eastAsia" w:ascii="黑体" w:hAnsi="黑体" w:eastAsia="黑体"/>
          <w:b w:val="0"/>
        </w:rPr>
        <w:t>政府性基金预算支出决算情况说明</w:t>
      </w:r>
      <w:bookmarkEnd w:id="58"/>
      <w:bookmarkEnd w:id="59"/>
      <w:bookmarkEnd w:id="60"/>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检察院2018年使用政府性基金预算财政拨款支出0万元。</w:t>
      </w:r>
    </w:p>
    <w:p>
      <w:pPr>
        <w:spacing w:line="600" w:lineRule="exact"/>
        <w:ind w:left="640"/>
        <w:outlineLvl w:val="1"/>
        <w:rPr>
          <w:rStyle w:val="28"/>
          <w:rFonts w:ascii="黑体" w:hAnsi="黑体" w:eastAsia="黑体"/>
          <w:b w:val="0"/>
        </w:rPr>
      </w:pPr>
      <w:bookmarkStart w:id="61" w:name="_Toc15377219"/>
      <w:bookmarkStart w:id="62" w:name="_Toc15396611"/>
      <w:bookmarkStart w:id="63" w:name="_Toc14328"/>
      <w:r>
        <w:rPr>
          <w:rStyle w:val="28"/>
          <w:rFonts w:hint="eastAsia" w:ascii="黑体" w:hAnsi="黑体" w:eastAsia="黑体"/>
          <w:b w:val="0"/>
        </w:rPr>
        <w:t>九、国有资本经营预算支出决算情况说明</w:t>
      </w:r>
      <w:bookmarkEnd w:id="61"/>
      <w:bookmarkEnd w:id="62"/>
      <w:bookmarkEnd w:id="63"/>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8年国有资本经营预算拨款支出0万元。</w:t>
      </w:r>
    </w:p>
    <w:p>
      <w:pPr>
        <w:spacing w:line="600" w:lineRule="exact"/>
        <w:ind w:left="640"/>
        <w:outlineLvl w:val="1"/>
        <w:rPr>
          <w:rStyle w:val="28"/>
          <w:rFonts w:ascii="黑体" w:hAnsi="黑体" w:eastAsia="黑体"/>
          <w:b w:val="0"/>
        </w:rPr>
      </w:pPr>
      <w:bookmarkStart w:id="64" w:name="_Toc19653"/>
      <w:r>
        <w:rPr>
          <w:rStyle w:val="28"/>
          <w:rFonts w:hint="eastAsia" w:ascii="黑体" w:hAnsi="黑体" w:eastAsia="黑体"/>
          <w:b w:val="0"/>
        </w:rPr>
        <w:t>十、预算绩效情况说明</w:t>
      </w:r>
    </w:p>
    <w:bookmarkEnd w:id="64"/>
    <w:p>
      <w:pPr>
        <w:spacing w:line="600" w:lineRule="exact"/>
        <w:ind w:firstLine="640" w:firstLineChars="200"/>
        <w:rPr>
          <w:rFonts w:ascii="仿宋_GB2312" w:eastAsia="仿宋_GB2312"/>
          <w:sz w:val="32"/>
          <w:szCs w:val="32"/>
        </w:rPr>
      </w:pPr>
      <w:r>
        <w:rPr>
          <w:rFonts w:hint="eastAsia" w:ascii="仿宋_GB2312" w:eastAsia="仿宋_GB2312"/>
          <w:sz w:val="32"/>
          <w:szCs w:val="32"/>
        </w:rPr>
        <w:t>按照预算绩效管理要求，本部门对2018年一般公共预算项目支出开展了绩效目标管理，共编制绩效目标0个。</w:t>
      </w:r>
    </w:p>
    <w:p>
      <w:pPr>
        <w:spacing w:line="600" w:lineRule="exact"/>
        <w:ind w:firstLine="640"/>
        <w:outlineLvl w:val="1"/>
        <w:rPr>
          <w:rFonts w:ascii="仿宋_GB2312" w:eastAsia="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eastAsia="仿宋_GB2312"/>
          <w:sz w:val="32"/>
          <w:szCs w:val="32"/>
        </w:rPr>
        <w:t>本部门在2018年度部门决算中反映“2018年中央政法转移支付办案业务经费、业务装备经费”1个项目绩效目标实际完成情况。</w:t>
      </w:r>
    </w:p>
    <w:p>
      <w:pPr>
        <w:pStyle w:val="14"/>
        <w:widowControl/>
        <w:numPr>
          <w:ilvl w:val="0"/>
          <w:numId w:val="1"/>
        </w:numPr>
        <w:spacing w:before="150" w:beforeAutospacing="0" w:after="150" w:afterAutospacing="0" w:line="560" w:lineRule="exact"/>
        <w:ind w:firstLine="800" w:firstLineChars="250"/>
        <w:rPr>
          <w:rFonts w:ascii="仿宋_GB2312" w:hAnsi="Times New Roman" w:eastAsia="仿宋_GB2312"/>
          <w:sz w:val="32"/>
          <w:szCs w:val="32"/>
        </w:rPr>
      </w:pPr>
      <w:r>
        <w:rPr>
          <w:rFonts w:hint="eastAsia" w:ascii="仿宋_GB2312" w:hAnsi="Times New Roman" w:eastAsia="仿宋_GB2312"/>
          <w:sz w:val="32"/>
          <w:szCs w:val="32"/>
        </w:rPr>
        <w:t>2018年中央政法转移支付（办案业务经费）项目绩效目标完成情况综述。项目全年预算数139万元，执行数为</w:t>
      </w:r>
      <w:r>
        <w:rPr>
          <w:rFonts w:hint="eastAsia" w:ascii="仿宋_GB2312" w:eastAsia="仿宋_GB2312"/>
          <w:sz w:val="32"/>
          <w:szCs w:val="32"/>
        </w:rPr>
        <w:t>99.80</w:t>
      </w:r>
      <w:r>
        <w:rPr>
          <w:rFonts w:hint="eastAsia" w:ascii="仿宋_GB2312" w:hAnsi="Times New Roman" w:eastAsia="仿宋_GB2312"/>
          <w:sz w:val="32"/>
          <w:szCs w:val="32"/>
        </w:rPr>
        <w:t>万元，完成预算的</w:t>
      </w:r>
      <w:r>
        <w:rPr>
          <w:rFonts w:hint="eastAsia" w:ascii="仿宋_GB2312" w:eastAsia="仿宋_GB2312"/>
          <w:sz w:val="32"/>
          <w:szCs w:val="32"/>
        </w:rPr>
        <w:t>72</w:t>
      </w:r>
      <w:r>
        <w:rPr>
          <w:rFonts w:hint="eastAsia" w:ascii="仿宋_GB2312" w:hAnsi="Times New Roman" w:eastAsia="仿宋_GB2312"/>
          <w:sz w:val="32"/>
          <w:szCs w:val="32"/>
        </w:rPr>
        <w:t>%。</w:t>
      </w:r>
      <w:r>
        <w:rPr>
          <w:rFonts w:hint="eastAsia" w:ascii="仿宋_GB2312" w:hAnsi="仿宋_GB2312" w:eastAsia="仿宋_GB2312" w:cs="仿宋_GB2312"/>
          <w:sz w:val="32"/>
          <w:szCs w:val="32"/>
        </w:rPr>
        <w:t>通过项目实施，能有效保障保障检察业务顺利开展，切实履行法律监督职能。发现的主要问题：</w:t>
      </w:r>
      <w:r>
        <w:rPr>
          <w:rFonts w:hint="eastAsia" w:eastAsia="仿宋_GB2312"/>
          <w:sz w:val="32"/>
        </w:rPr>
        <w:t>支付进度较慢，</w:t>
      </w:r>
      <w:r>
        <w:rPr>
          <w:rFonts w:hint="eastAsia" w:ascii="仿宋_GB2312" w:eastAsia="仿宋_GB2312"/>
          <w:sz w:val="32"/>
        </w:rPr>
        <w:t>办案业务经费的适用范围有限，导致资金使用效益不高。</w:t>
      </w:r>
      <w:r>
        <w:rPr>
          <w:rFonts w:hint="eastAsia" w:ascii="仿宋_GB2312" w:hAnsi="Times New Roman" w:eastAsia="仿宋_GB2312"/>
          <w:sz w:val="32"/>
          <w:szCs w:val="32"/>
        </w:rPr>
        <w:t>下一步改进措施：制定合理的年度工作计划和年度经费支出预算，加强与业务科室的沟通，提高经费使用效益。</w:t>
      </w:r>
    </w:p>
    <w:p>
      <w:pPr>
        <w:spacing w:line="600" w:lineRule="exact"/>
        <w:ind w:firstLine="640"/>
        <w:outlineLvl w:val="1"/>
        <w:rPr>
          <w:rFonts w:ascii="仿宋_GB2312" w:eastAsia="仿宋_GB2312"/>
          <w:sz w:val="32"/>
          <w:szCs w:val="32"/>
        </w:rPr>
      </w:pPr>
      <w:r>
        <w:rPr>
          <w:rFonts w:hint="eastAsia" w:ascii="仿宋_GB2312" w:eastAsia="仿宋_GB2312"/>
          <w:sz w:val="32"/>
          <w:szCs w:val="32"/>
        </w:rPr>
        <w:t>2.2018年中央政法转移支付（业务装备经费）项目绩效目标完成情况综述。项目全年预算数92万元，执行数为17.78万元，完成预算的19%。</w:t>
      </w:r>
      <w:r>
        <w:rPr>
          <w:rFonts w:hint="eastAsia" w:ascii="仿宋_GB2312" w:hAnsi="仿宋_GB2312" w:eastAsia="仿宋_GB2312" w:cs="仿宋_GB2312"/>
          <w:sz w:val="32"/>
          <w:szCs w:val="32"/>
        </w:rPr>
        <w:t>发现的主要问题：综合部门</w:t>
      </w:r>
      <w:r>
        <w:rPr>
          <w:rFonts w:hint="eastAsia" w:eastAsia="仿宋_GB2312"/>
          <w:sz w:val="32"/>
        </w:rPr>
        <w:t>与业务科室对接不够</w:t>
      </w:r>
      <w:r>
        <w:rPr>
          <w:rFonts w:hint="eastAsia" w:ascii="仿宋_GB2312" w:eastAsia="仿宋_GB2312"/>
          <w:sz w:val="32"/>
        </w:rPr>
        <w:t>，资金使用进度慢，资金使用效益不高。</w:t>
      </w:r>
      <w:r>
        <w:rPr>
          <w:rFonts w:hint="eastAsia" w:ascii="仿宋_GB2312" w:eastAsia="仿宋_GB2312"/>
          <w:sz w:val="32"/>
          <w:szCs w:val="32"/>
        </w:rPr>
        <w:t>下一步改进措施：全面提高单位对全面预算管理的重视程度，根据检察工作实际，定期做好执行分析，掌握执行进度，及时找出实际执行情况与预算目标之间存在的差距，切实纠正偏差。</w:t>
      </w:r>
    </w:p>
    <w:p>
      <w:pPr>
        <w:spacing w:line="600" w:lineRule="exact"/>
        <w:ind w:firstLine="640"/>
        <w:outlineLvl w:val="1"/>
        <w:rPr>
          <w:rFonts w:ascii="仿宋_GB2312" w:eastAsia="仿宋_GB2312"/>
          <w:sz w:val="32"/>
          <w:szCs w:val="32"/>
        </w:rPr>
      </w:pPr>
    </w:p>
    <w:tbl>
      <w:tblPr>
        <w:tblStyle w:val="15"/>
        <w:tblW w:w="10326" w:type="dxa"/>
        <w:tblInd w:w="-804" w:type="dxa"/>
        <w:tblLayout w:type="fixed"/>
        <w:tblCellMar>
          <w:top w:w="15" w:type="dxa"/>
          <w:left w:w="15" w:type="dxa"/>
          <w:bottom w:w="15" w:type="dxa"/>
          <w:right w:w="15" w:type="dxa"/>
        </w:tblCellMar>
      </w:tblPr>
      <w:tblGrid>
        <w:gridCol w:w="1253"/>
        <w:gridCol w:w="764"/>
        <w:gridCol w:w="1048"/>
        <w:gridCol w:w="764"/>
        <w:gridCol w:w="1182"/>
        <w:gridCol w:w="1752"/>
        <w:gridCol w:w="1632"/>
        <w:gridCol w:w="1931"/>
      </w:tblGrid>
      <w:tr>
        <w:tblPrEx>
          <w:tblCellMar>
            <w:top w:w="15" w:type="dxa"/>
            <w:left w:w="15" w:type="dxa"/>
            <w:bottom w:w="15" w:type="dxa"/>
            <w:right w:w="15" w:type="dxa"/>
          </w:tblCellMar>
        </w:tblPrEx>
        <w:trPr>
          <w:trHeight w:val="285" w:hRule="atLeast"/>
        </w:trPr>
        <w:tc>
          <w:tcPr>
            <w:tcW w:w="10326" w:type="dxa"/>
            <w:gridSpan w:val="8"/>
            <w:shd w:val="clear" w:color="auto" w:fill="auto"/>
            <w:vAlign w:val="center"/>
          </w:tcPr>
          <w:p>
            <w:pPr>
              <w:widowControl/>
              <w:jc w:val="center"/>
              <w:textAlignment w:val="center"/>
              <w:rPr>
                <w:rFonts w:hint="eastAsia" w:ascii="黑体" w:hAnsi="黑体" w:eastAsia="黑体" w:cs="黑体"/>
                <w:bCs/>
                <w:color w:val="000000"/>
                <w:kern w:val="0"/>
                <w:sz w:val="36"/>
                <w:szCs w:val="36"/>
              </w:rPr>
            </w:pPr>
          </w:p>
          <w:p>
            <w:pPr>
              <w:widowControl/>
              <w:jc w:val="center"/>
              <w:textAlignment w:val="center"/>
              <w:rPr>
                <w:rFonts w:ascii="宋体" w:hAnsi="宋体" w:cs="宋体"/>
                <w:b/>
                <w:color w:val="000000"/>
                <w:sz w:val="24"/>
              </w:rPr>
            </w:pPr>
            <w:r>
              <w:rPr>
                <w:rFonts w:hint="eastAsia" w:ascii="黑体" w:hAnsi="黑体" w:eastAsia="黑体" w:cs="黑体"/>
                <w:bCs/>
                <w:color w:val="000000"/>
                <w:kern w:val="0"/>
                <w:sz w:val="36"/>
                <w:szCs w:val="36"/>
              </w:rPr>
              <w:t>项目支出绩效目标完成情况表</w:t>
            </w:r>
          </w:p>
        </w:tc>
      </w:tr>
      <w:tr>
        <w:tblPrEx>
          <w:tblCellMar>
            <w:top w:w="15" w:type="dxa"/>
            <w:left w:w="15" w:type="dxa"/>
            <w:bottom w:w="15" w:type="dxa"/>
            <w:right w:w="15" w:type="dxa"/>
          </w:tblCellMar>
        </w:tblPrEx>
        <w:trPr>
          <w:trHeight w:val="285" w:hRule="atLeast"/>
        </w:trPr>
        <w:tc>
          <w:tcPr>
            <w:tcW w:w="30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项目名称</w:t>
            </w:r>
          </w:p>
        </w:tc>
        <w:tc>
          <w:tcPr>
            <w:tcW w:w="72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中央政法转移资金</w:t>
            </w:r>
          </w:p>
        </w:tc>
      </w:tr>
      <w:tr>
        <w:tblPrEx>
          <w:tblCellMar>
            <w:top w:w="15" w:type="dxa"/>
            <w:left w:w="15" w:type="dxa"/>
            <w:bottom w:w="15" w:type="dxa"/>
            <w:right w:w="15" w:type="dxa"/>
          </w:tblCellMar>
        </w:tblPrEx>
        <w:trPr>
          <w:trHeight w:val="285" w:hRule="atLeast"/>
        </w:trPr>
        <w:tc>
          <w:tcPr>
            <w:tcW w:w="30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预算单位</w:t>
            </w:r>
          </w:p>
        </w:tc>
        <w:tc>
          <w:tcPr>
            <w:tcW w:w="72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汶川县人民检察院</w:t>
            </w:r>
          </w:p>
        </w:tc>
      </w:tr>
      <w:tr>
        <w:tblPrEx>
          <w:tblCellMar>
            <w:top w:w="15" w:type="dxa"/>
            <w:left w:w="15" w:type="dxa"/>
            <w:bottom w:w="15" w:type="dxa"/>
            <w:right w:w="15" w:type="dxa"/>
          </w:tblCellMar>
        </w:tblPrEx>
        <w:trPr>
          <w:trHeight w:val="285" w:hRule="atLeast"/>
        </w:trPr>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预算执行情况(万元</w:t>
            </w:r>
          </w:p>
        </w:tc>
        <w:tc>
          <w:tcPr>
            <w:tcW w:w="18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预算数:</w:t>
            </w:r>
          </w:p>
        </w:tc>
        <w:tc>
          <w:tcPr>
            <w:tcW w:w="1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231万元</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执行数:</w:t>
            </w:r>
          </w:p>
        </w:tc>
        <w:tc>
          <w:tcPr>
            <w:tcW w:w="35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 xml:space="preserve"> 117.58万元</w:t>
            </w:r>
          </w:p>
        </w:tc>
      </w:tr>
      <w:tr>
        <w:tblPrEx>
          <w:tblCellMar>
            <w:top w:w="15" w:type="dxa"/>
            <w:left w:w="15" w:type="dxa"/>
            <w:bottom w:w="15" w:type="dxa"/>
            <w:right w:w="15" w:type="dxa"/>
          </w:tblCellMar>
        </w:tblPrEx>
        <w:trPr>
          <w:trHeight w:val="285"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p>
        </w:tc>
        <w:tc>
          <w:tcPr>
            <w:tcW w:w="18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其中-财政拨款:</w:t>
            </w:r>
          </w:p>
        </w:tc>
        <w:tc>
          <w:tcPr>
            <w:tcW w:w="1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231万元</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其中-财政拨款:</w:t>
            </w:r>
          </w:p>
        </w:tc>
        <w:tc>
          <w:tcPr>
            <w:tcW w:w="35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117.58万元</w:t>
            </w:r>
          </w:p>
        </w:tc>
      </w:tr>
      <w:tr>
        <w:tblPrEx>
          <w:tblCellMar>
            <w:top w:w="15" w:type="dxa"/>
            <w:left w:w="15" w:type="dxa"/>
            <w:bottom w:w="15" w:type="dxa"/>
            <w:right w:w="15" w:type="dxa"/>
          </w:tblCellMar>
        </w:tblPrEx>
        <w:trPr>
          <w:trHeight w:val="285"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p>
        </w:tc>
        <w:tc>
          <w:tcPr>
            <w:tcW w:w="18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其它资金:</w:t>
            </w:r>
          </w:p>
        </w:tc>
        <w:tc>
          <w:tcPr>
            <w:tcW w:w="1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其它资金:</w:t>
            </w:r>
          </w:p>
        </w:tc>
        <w:tc>
          <w:tcPr>
            <w:tcW w:w="35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p>
        </w:tc>
      </w:tr>
      <w:tr>
        <w:tblPrEx>
          <w:tblCellMar>
            <w:top w:w="15" w:type="dxa"/>
            <w:left w:w="15" w:type="dxa"/>
            <w:bottom w:w="15" w:type="dxa"/>
            <w:right w:w="15" w:type="dxa"/>
          </w:tblCellMar>
        </w:tblPrEx>
        <w:trPr>
          <w:trHeight w:val="285" w:hRule="atLeast"/>
        </w:trPr>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年度目标完成情况</w:t>
            </w:r>
          </w:p>
        </w:tc>
        <w:tc>
          <w:tcPr>
            <w:tcW w:w="2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预期目标</w:t>
            </w:r>
          </w:p>
        </w:tc>
        <w:tc>
          <w:tcPr>
            <w:tcW w:w="6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实际完成目标</w:t>
            </w:r>
          </w:p>
        </w:tc>
      </w:tr>
      <w:tr>
        <w:tblPrEx>
          <w:tblCellMar>
            <w:top w:w="15" w:type="dxa"/>
            <w:left w:w="15" w:type="dxa"/>
            <w:bottom w:w="15" w:type="dxa"/>
            <w:right w:w="15" w:type="dxa"/>
          </w:tblCellMar>
        </w:tblPrEx>
        <w:trPr>
          <w:trHeight w:val="1920"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p>
        </w:tc>
        <w:tc>
          <w:tcPr>
            <w:tcW w:w="2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保障办案业务费和装备购置费</w:t>
            </w:r>
          </w:p>
        </w:tc>
        <w:tc>
          <w:tcPr>
            <w:tcW w:w="6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cs="宋体"/>
                <w:color w:val="000000"/>
                <w:kern w:val="0"/>
                <w:sz w:val="24"/>
              </w:rPr>
              <w:t>中央政法转移支付资金使用规范、合理，进一步增强了检察信息网络建设，保证了办案质量。</w:t>
            </w:r>
          </w:p>
          <w:p>
            <w:pPr>
              <w:widowControl/>
              <w:jc w:val="center"/>
              <w:textAlignment w:val="center"/>
            </w:pPr>
          </w:p>
          <w:p>
            <w:pPr>
              <w:pStyle w:val="2"/>
            </w:pPr>
          </w:p>
        </w:tc>
      </w:tr>
      <w:tr>
        <w:tblPrEx>
          <w:tblCellMar>
            <w:top w:w="15" w:type="dxa"/>
            <w:left w:w="15" w:type="dxa"/>
            <w:bottom w:w="15" w:type="dxa"/>
            <w:right w:w="15" w:type="dxa"/>
          </w:tblCellMar>
        </w:tblPrEx>
        <w:trPr>
          <w:trHeight w:val="312" w:hRule="atLeast"/>
        </w:trPr>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绩效指标完成情况</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b/>
                <w:color w:val="000000"/>
                <w:sz w:val="20"/>
                <w:szCs w:val="20"/>
              </w:rPr>
            </w:pPr>
            <w:r>
              <w:rPr>
                <w:rFonts w:hint="eastAsia" w:ascii="宋体" w:hAnsi="宋体" w:cs="宋体"/>
                <w:b/>
                <w:color w:val="000000"/>
                <w:kern w:val="0"/>
                <w:sz w:val="20"/>
                <w:szCs w:val="20"/>
              </w:rPr>
              <w:t>一级指标</w:t>
            </w:r>
          </w:p>
        </w:tc>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b/>
                <w:color w:val="000000"/>
                <w:sz w:val="20"/>
                <w:szCs w:val="20"/>
              </w:rPr>
            </w:pPr>
            <w:r>
              <w:rPr>
                <w:rFonts w:hint="eastAsia" w:ascii="宋体" w:hAnsi="宋体" w:cs="宋体"/>
                <w:b/>
                <w:color w:val="000000"/>
                <w:kern w:val="0"/>
                <w:sz w:val="20"/>
                <w:szCs w:val="20"/>
              </w:rPr>
              <w:t>二级指标</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b/>
                <w:color w:val="000000"/>
                <w:sz w:val="20"/>
                <w:szCs w:val="20"/>
              </w:rPr>
            </w:pPr>
            <w:r>
              <w:rPr>
                <w:rFonts w:hint="eastAsia" w:ascii="宋体" w:hAnsi="宋体" w:cs="宋体"/>
                <w:b/>
                <w:color w:val="000000"/>
                <w:kern w:val="0"/>
                <w:sz w:val="20"/>
                <w:szCs w:val="20"/>
              </w:rPr>
              <w:t>三级指标</w:t>
            </w:r>
          </w:p>
        </w:tc>
        <w:tc>
          <w:tcPr>
            <w:tcW w:w="29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b/>
                <w:color w:val="000000"/>
                <w:sz w:val="20"/>
                <w:szCs w:val="20"/>
              </w:rPr>
            </w:pPr>
            <w:r>
              <w:rPr>
                <w:rFonts w:hint="eastAsia" w:ascii="宋体" w:hAnsi="宋体" w:cs="宋体"/>
                <w:b/>
                <w:color w:val="000000"/>
                <w:kern w:val="0"/>
                <w:sz w:val="20"/>
                <w:szCs w:val="20"/>
              </w:rPr>
              <w:t>指标评价内容</w:t>
            </w:r>
          </w:p>
        </w:tc>
        <w:tc>
          <w:tcPr>
            <w:tcW w:w="1632"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b/>
                <w:color w:val="000000"/>
                <w:sz w:val="20"/>
                <w:szCs w:val="20"/>
              </w:rPr>
            </w:pPr>
            <w:r>
              <w:rPr>
                <w:rFonts w:hint="eastAsia" w:ascii="宋体" w:hAnsi="宋体" w:cs="宋体"/>
                <w:b/>
                <w:color w:val="000000"/>
                <w:kern w:val="0"/>
                <w:sz w:val="20"/>
                <w:szCs w:val="20"/>
              </w:rPr>
              <w:t>预期指标值(包含数字及文字描述)</w:t>
            </w:r>
          </w:p>
        </w:tc>
        <w:tc>
          <w:tcPr>
            <w:tcW w:w="1931"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b/>
                <w:color w:val="000000"/>
                <w:sz w:val="20"/>
                <w:szCs w:val="20"/>
              </w:rPr>
            </w:pPr>
            <w:r>
              <w:rPr>
                <w:rFonts w:hint="eastAsia" w:ascii="宋体" w:hAnsi="宋体" w:cs="宋体"/>
                <w:b/>
                <w:color w:val="000000"/>
                <w:kern w:val="0"/>
                <w:sz w:val="20"/>
                <w:szCs w:val="20"/>
              </w:rPr>
              <w:t>实际完成指标值(包含数字及文字描述)</w:t>
            </w:r>
          </w:p>
        </w:tc>
      </w:tr>
      <w:tr>
        <w:tblPrEx>
          <w:tblCellMar>
            <w:top w:w="15" w:type="dxa"/>
            <w:left w:w="15" w:type="dxa"/>
            <w:bottom w:w="15" w:type="dxa"/>
            <w:right w:w="15" w:type="dxa"/>
          </w:tblCellMar>
        </w:tblPrEx>
        <w:trPr>
          <w:trHeight w:val="312"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b/>
                <w:color w:val="000000"/>
                <w:sz w:val="20"/>
                <w:szCs w:val="20"/>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b/>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b/>
                <w:color w:val="000000"/>
                <w:sz w:val="20"/>
                <w:szCs w:val="20"/>
              </w:rPr>
            </w:pPr>
          </w:p>
        </w:tc>
        <w:tc>
          <w:tcPr>
            <w:tcW w:w="29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b/>
                <w:color w:val="000000"/>
                <w:sz w:val="20"/>
                <w:szCs w:val="20"/>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b/>
                <w:color w:val="000000"/>
                <w:sz w:val="20"/>
                <w:szCs w:val="20"/>
              </w:rPr>
            </w:pPr>
          </w:p>
        </w:tc>
        <w:tc>
          <w:tcPr>
            <w:tcW w:w="1931"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b/>
                <w:color w:val="000000"/>
                <w:sz w:val="20"/>
                <w:szCs w:val="20"/>
              </w:rPr>
            </w:pPr>
          </w:p>
        </w:tc>
      </w:tr>
      <w:tr>
        <w:tblPrEx>
          <w:tblCellMar>
            <w:top w:w="15" w:type="dxa"/>
            <w:left w:w="15" w:type="dxa"/>
            <w:bottom w:w="15" w:type="dxa"/>
            <w:right w:w="15" w:type="dxa"/>
          </w:tblCellMar>
        </w:tblPrEx>
        <w:trPr>
          <w:trHeight w:val="312"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b/>
                <w:color w:val="000000"/>
                <w:sz w:val="20"/>
                <w:szCs w:val="20"/>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b/>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b/>
                <w:color w:val="000000"/>
                <w:sz w:val="20"/>
                <w:szCs w:val="20"/>
              </w:rPr>
            </w:pPr>
          </w:p>
        </w:tc>
        <w:tc>
          <w:tcPr>
            <w:tcW w:w="29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b/>
                <w:color w:val="000000"/>
                <w:sz w:val="20"/>
                <w:szCs w:val="20"/>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b/>
                <w:color w:val="000000"/>
                <w:sz w:val="20"/>
                <w:szCs w:val="20"/>
              </w:rPr>
            </w:pPr>
          </w:p>
        </w:tc>
        <w:tc>
          <w:tcPr>
            <w:tcW w:w="1931"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b/>
                <w:color w:val="000000"/>
                <w:sz w:val="20"/>
                <w:szCs w:val="20"/>
              </w:rPr>
            </w:pPr>
          </w:p>
        </w:tc>
      </w:tr>
      <w:tr>
        <w:tblPrEx>
          <w:tblCellMar>
            <w:top w:w="15" w:type="dxa"/>
            <w:left w:w="15" w:type="dxa"/>
            <w:bottom w:w="15" w:type="dxa"/>
            <w:right w:w="15" w:type="dxa"/>
          </w:tblCellMar>
        </w:tblPrEx>
        <w:trPr>
          <w:trHeight w:val="765"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项目决策</w:t>
            </w:r>
          </w:p>
        </w:tc>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绩效目标</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目标内容</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项目预期提供的产品、服务、效益或其他目标明确,即绩效目标实际明确个数/应当明确个数×100%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0"/>
                <w:szCs w:val="20"/>
              </w:rPr>
            </w:pPr>
            <w:r>
              <w:rPr>
                <w:rFonts w:hint="eastAsia" w:ascii="宋体" w:hAnsi="宋体" w:cs="宋体"/>
                <w:color w:val="000000"/>
                <w:sz w:val="20"/>
                <w:szCs w:val="20"/>
              </w:rPr>
              <w:t xml:space="preserve">        1个</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 w:val="20"/>
                <w:szCs w:val="20"/>
              </w:rPr>
            </w:pPr>
            <w:r>
              <w:rPr>
                <w:rFonts w:hint="eastAsia" w:ascii="宋体" w:hAnsi="宋体" w:cs="宋体"/>
                <w:color w:val="000000"/>
                <w:sz w:val="20"/>
                <w:szCs w:val="20"/>
              </w:rPr>
              <w:t xml:space="preserve">     1个</w:t>
            </w:r>
          </w:p>
        </w:tc>
      </w:tr>
      <w:tr>
        <w:tblPrEx>
          <w:tblCellMar>
            <w:top w:w="15" w:type="dxa"/>
            <w:left w:w="15" w:type="dxa"/>
            <w:bottom w:w="15" w:type="dxa"/>
            <w:right w:w="15" w:type="dxa"/>
          </w:tblCellMar>
        </w:tblPrEx>
        <w:trPr>
          <w:trHeight w:val="645"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ascii="宋体" w:hAnsi="宋体" w:cs="宋体"/>
                <w:color w:val="000000"/>
                <w:sz w:val="20"/>
                <w:szCs w:val="20"/>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bottom"/>
          </w:tcPr>
          <w:p>
            <w:pPr>
              <w:jc w:val="center"/>
              <w:rPr>
                <w:rFonts w:ascii="宋体" w:hAnsi="宋体" w:cs="宋体"/>
                <w:color w:val="000000"/>
                <w:sz w:val="20"/>
                <w:szCs w:val="2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进度计划</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项目计划实施进度明确</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 w:val="20"/>
                <w:szCs w:val="20"/>
              </w:rPr>
            </w:pPr>
            <w:r>
              <w:rPr>
                <w:rFonts w:ascii="宋体" w:hAnsi="宋体" w:cs="宋体"/>
                <w:color w:val="000000"/>
                <w:sz w:val="20"/>
                <w:szCs w:val="20"/>
              </w:rPr>
              <w:t>明确</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 w:val="20"/>
                <w:szCs w:val="20"/>
              </w:rPr>
            </w:pPr>
            <w:r>
              <w:rPr>
                <w:rFonts w:ascii="宋体" w:hAnsi="宋体" w:cs="宋体"/>
                <w:color w:val="000000"/>
                <w:sz w:val="20"/>
                <w:szCs w:val="20"/>
              </w:rPr>
              <w:t>明确</w:t>
            </w:r>
          </w:p>
        </w:tc>
      </w:tr>
      <w:tr>
        <w:tblPrEx>
          <w:tblCellMar>
            <w:top w:w="15" w:type="dxa"/>
            <w:left w:w="15" w:type="dxa"/>
            <w:bottom w:w="15" w:type="dxa"/>
            <w:right w:w="15" w:type="dxa"/>
          </w:tblCellMar>
        </w:tblPrEx>
        <w:trPr>
          <w:trHeight w:val="690"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ascii="宋体" w:hAnsi="宋体" w:cs="宋体"/>
                <w:color w:val="000000"/>
                <w:sz w:val="20"/>
                <w:szCs w:val="20"/>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bottom"/>
          </w:tcPr>
          <w:p>
            <w:pPr>
              <w:jc w:val="center"/>
              <w:rPr>
                <w:rFonts w:ascii="宋体" w:hAnsi="宋体" w:cs="宋体"/>
                <w:color w:val="000000"/>
                <w:sz w:val="20"/>
                <w:szCs w:val="2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目标匹配</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绩效目标设定符合实际需求的抽样项目点个数/抽样项目点总数×100%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 w:val="20"/>
                <w:szCs w:val="20"/>
              </w:rPr>
            </w:pPr>
            <w:r>
              <w:rPr>
                <w:rFonts w:hint="eastAsia" w:ascii="宋体" w:hAnsi="宋体" w:cs="宋体"/>
                <w:color w:val="000000"/>
                <w:sz w:val="20"/>
                <w:szCs w:val="20"/>
              </w:rPr>
              <w:t>1个</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 w:val="20"/>
                <w:szCs w:val="20"/>
              </w:rPr>
            </w:pPr>
            <w:r>
              <w:rPr>
                <w:rFonts w:hint="eastAsia" w:ascii="宋体" w:hAnsi="宋体" w:cs="宋体"/>
                <w:color w:val="000000"/>
                <w:sz w:val="20"/>
                <w:szCs w:val="20"/>
              </w:rPr>
              <w:t>1个</w:t>
            </w:r>
          </w:p>
        </w:tc>
      </w:tr>
      <w:tr>
        <w:tblPrEx>
          <w:tblCellMar>
            <w:top w:w="15" w:type="dxa"/>
            <w:left w:w="15" w:type="dxa"/>
            <w:bottom w:w="15" w:type="dxa"/>
            <w:right w:w="15" w:type="dxa"/>
          </w:tblCellMar>
        </w:tblPrEx>
        <w:trPr>
          <w:trHeight w:val="765"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ascii="宋体" w:hAnsi="宋体" w:cs="宋体"/>
                <w:color w:val="000000"/>
                <w:sz w:val="20"/>
                <w:szCs w:val="20"/>
              </w:rPr>
            </w:pPr>
          </w:p>
        </w:tc>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决策依据</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政策依据</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项目符合党中央、国务院和省委、省政府决策部署；符合当前经济社会发展需要</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 w:val="20"/>
                <w:szCs w:val="20"/>
              </w:rPr>
            </w:pPr>
            <w:r>
              <w:rPr>
                <w:rFonts w:ascii="宋体" w:hAnsi="宋体" w:cs="宋体"/>
                <w:color w:val="000000"/>
                <w:sz w:val="20"/>
                <w:szCs w:val="20"/>
              </w:rPr>
              <w:t>符合</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 w:val="20"/>
                <w:szCs w:val="20"/>
              </w:rPr>
            </w:pPr>
            <w:r>
              <w:rPr>
                <w:rFonts w:ascii="宋体" w:hAnsi="宋体" w:cs="宋体"/>
                <w:color w:val="000000"/>
                <w:sz w:val="20"/>
                <w:szCs w:val="20"/>
              </w:rPr>
              <w:t>符合</w:t>
            </w:r>
          </w:p>
        </w:tc>
      </w:tr>
      <w:tr>
        <w:tblPrEx>
          <w:tblCellMar>
            <w:top w:w="15" w:type="dxa"/>
            <w:left w:w="15" w:type="dxa"/>
            <w:bottom w:w="15" w:type="dxa"/>
            <w:right w:w="15" w:type="dxa"/>
          </w:tblCellMar>
        </w:tblPrEx>
        <w:trPr>
          <w:trHeight w:val="285"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ascii="宋体" w:hAnsi="宋体" w:cs="宋体"/>
                <w:color w:val="000000"/>
                <w:sz w:val="20"/>
                <w:szCs w:val="20"/>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bottom"/>
          </w:tcPr>
          <w:p>
            <w:pPr>
              <w:jc w:val="center"/>
              <w:rPr>
                <w:rFonts w:ascii="宋体" w:hAnsi="宋体" w:cs="宋体"/>
                <w:color w:val="000000"/>
                <w:sz w:val="20"/>
                <w:szCs w:val="20"/>
              </w:rPr>
            </w:pP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实施规划</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连续性项目根据需要制定中长期实施规划</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 w:val="20"/>
                <w:szCs w:val="20"/>
              </w:rPr>
            </w:pPr>
            <w:r>
              <w:rPr>
                <w:rFonts w:ascii="宋体" w:hAnsi="宋体" w:cs="宋体"/>
                <w:color w:val="000000"/>
                <w:sz w:val="20"/>
                <w:szCs w:val="20"/>
              </w:rPr>
              <w:t>有</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 w:val="20"/>
                <w:szCs w:val="20"/>
              </w:rPr>
            </w:pPr>
            <w:r>
              <w:rPr>
                <w:rFonts w:ascii="宋体" w:hAnsi="宋体" w:cs="宋体"/>
                <w:color w:val="000000"/>
                <w:sz w:val="20"/>
                <w:szCs w:val="20"/>
              </w:rPr>
              <w:t>有</w:t>
            </w:r>
          </w:p>
        </w:tc>
      </w:tr>
      <w:tr>
        <w:tblPrEx>
          <w:tblCellMar>
            <w:top w:w="15" w:type="dxa"/>
            <w:left w:w="15" w:type="dxa"/>
            <w:bottom w:w="15" w:type="dxa"/>
            <w:right w:w="15" w:type="dxa"/>
          </w:tblCellMar>
        </w:tblPrEx>
        <w:trPr>
          <w:trHeight w:val="285"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ascii="宋体" w:hAnsi="宋体" w:cs="宋体"/>
                <w:color w:val="000000"/>
                <w:sz w:val="20"/>
                <w:szCs w:val="20"/>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bottom"/>
          </w:tcPr>
          <w:p>
            <w:pPr>
              <w:jc w:val="center"/>
              <w:rPr>
                <w:rFonts w:ascii="宋体" w:hAnsi="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 w:val="20"/>
                <w:szCs w:val="20"/>
              </w:rPr>
            </w:pP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实施规划符合实际，并根据情况变化适时调整</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 w:val="20"/>
                <w:szCs w:val="20"/>
              </w:rPr>
            </w:pPr>
            <w:r>
              <w:rPr>
                <w:rFonts w:ascii="宋体" w:hAnsi="宋体" w:cs="宋体"/>
                <w:color w:val="000000"/>
                <w:sz w:val="20"/>
                <w:szCs w:val="20"/>
              </w:rPr>
              <w:t>符合</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 w:val="20"/>
                <w:szCs w:val="20"/>
              </w:rPr>
            </w:pPr>
            <w:r>
              <w:rPr>
                <w:rFonts w:ascii="宋体" w:hAnsi="宋体" w:cs="宋体"/>
                <w:color w:val="000000"/>
                <w:sz w:val="20"/>
                <w:szCs w:val="20"/>
              </w:rPr>
              <w:t>符合</w:t>
            </w:r>
          </w:p>
        </w:tc>
      </w:tr>
      <w:tr>
        <w:tblPrEx>
          <w:tblCellMar>
            <w:top w:w="15" w:type="dxa"/>
            <w:left w:w="15" w:type="dxa"/>
            <w:bottom w:w="15" w:type="dxa"/>
            <w:right w:w="15" w:type="dxa"/>
          </w:tblCellMar>
        </w:tblPrEx>
        <w:trPr>
          <w:trHeight w:val="285"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ascii="宋体" w:hAnsi="宋体" w:cs="宋体"/>
                <w:color w:val="000000"/>
                <w:sz w:val="20"/>
                <w:szCs w:val="20"/>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bottom"/>
          </w:tcPr>
          <w:p>
            <w:pPr>
              <w:jc w:val="center"/>
              <w:rPr>
                <w:rFonts w:ascii="宋体" w:hAnsi="宋体" w:cs="宋体"/>
                <w:color w:val="000000"/>
                <w:sz w:val="20"/>
                <w:szCs w:val="20"/>
              </w:rPr>
            </w:pP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管理制度</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制定项目资金管理办法</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 w:val="20"/>
                <w:szCs w:val="20"/>
              </w:rPr>
            </w:pPr>
            <w:r>
              <w:rPr>
                <w:rFonts w:ascii="宋体" w:hAnsi="宋体" w:cs="宋体"/>
                <w:color w:val="000000"/>
                <w:sz w:val="20"/>
                <w:szCs w:val="20"/>
              </w:rPr>
              <w:t>是</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 w:val="20"/>
                <w:szCs w:val="20"/>
              </w:rPr>
            </w:pPr>
            <w:r>
              <w:rPr>
                <w:rFonts w:ascii="宋体" w:hAnsi="宋体" w:cs="宋体"/>
                <w:color w:val="000000"/>
                <w:sz w:val="20"/>
                <w:szCs w:val="20"/>
              </w:rPr>
              <w:t>是</w:t>
            </w:r>
          </w:p>
        </w:tc>
      </w:tr>
      <w:tr>
        <w:tblPrEx>
          <w:tblCellMar>
            <w:top w:w="15" w:type="dxa"/>
            <w:left w:w="15" w:type="dxa"/>
            <w:bottom w:w="15" w:type="dxa"/>
            <w:right w:w="15" w:type="dxa"/>
          </w:tblCellMar>
        </w:tblPrEx>
        <w:trPr>
          <w:trHeight w:val="750"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ascii="宋体" w:hAnsi="宋体" w:cs="宋体"/>
                <w:color w:val="000000"/>
                <w:sz w:val="20"/>
                <w:szCs w:val="20"/>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bottom"/>
          </w:tcPr>
          <w:p>
            <w:pPr>
              <w:jc w:val="center"/>
              <w:rPr>
                <w:rFonts w:ascii="宋体" w:hAnsi="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 w:val="20"/>
                <w:szCs w:val="20"/>
              </w:rPr>
            </w:pP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项目资金分配决策程序明确</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 w:val="20"/>
                <w:szCs w:val="20"/>
              </w:rPr>
            </w:pPr>
            <w:r>
              <w:rPr>
                <w:rFonts w:ascii="宋体" w:hAnsi="宋体" w:cs="宋体"/>
                <w:color w:val="000000"/>
                <w:sz w:val="20"/>
                <w:szCs w:val="20"/>
              </w:rPr>
              <w:t>明确</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 w:val="20"/>
                <w:szCs w:val="20"/>
              </w:rPr>
            </w:pPr>
            <w:r>
              <w:rPr>
                <w:rFonts w:ascii="宋体" w:hAnsi="宋体" w:cs="宋体"/>
                <w:color w:val="000000"/>
                <w:sz w:val="20"/>
                <w:szCs w:val="20"/>
              </w:rPr>
              <w:t>明确</w:t>
            </w:r>
          </w:p>
        </w:tc>
      </w:tr>
      <w:tr>
        <w:tblPrEx>
          <w:tblCellMar>
            <w:top w:w="15" w:type="dxa"/>
            <w:left w:w="15" w:type="dxa"/>
            <w:bottom w:w="15" w:type="dxa"/>
            <w:right w:w="15" w:type="dxa"/>
          </w:tblCellMar>
        </w:tblPrEx>
        <w:trPr>
          <w:trHeight w:val="825"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ascii="宋体" w:hAnsi="宋体" w:cs="宋体"/>
                <w:color w:val="000000"/>
                <w:sz w:val="20"/>
                <w:szCs w:val="20"/>
              </w:rPr>
            </w:pPr>
          </w:p>
        </w:tc>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资金分配</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分配方法</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资金分配方法是否科学合理</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 w:val="20"/>
                <w:szCs w:val="20"/>
              </w:rPr>
            </w:pPr>
            <w:r>
              <w:rPr>
                <w:rFonts w:ascii="宋体" w:hAnsi="宋体" w:cs="宋体"/>
                <w:color w:val="000000"/>
                <w:sz w:val="20"/>
                <w:szCs w:val="20"/>
              </w:rPr>
              <w:t>合理</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 w:val="20"/>
                <w:szCs w:val="20"/>
              </w:rPr>
            </w:pPr>
            <w:r>
              <w:rPr>
                <w:rFonts w:ascii="宋体" w:hAnsi="宋体" w:cs="宋体"/>
                <w:color w:val="000000"/>
                <w:sz w:val="20"/>
                <w:szCs w:val="20"/>
              </w:rPr>
              <w:t>合理</w:t>
            </w:r>
          </w:p>
        </w:tc>
      </w:tr>
      <w:tr>
        <w:tblPrEx>
          <w:tblCellMar>
            <w:top w:w="15" w:type="dxa"/>
            <w:left w:w="15" w:type="dxa"/>
            <w:bottom w:w="15" w:type="dxa"/>
            <w:right w:w="15" w:type="dxa"/>
          </w:tblCellMar>
        </w:tblPrEx>
        <w:trPr>
          <w:trHeight w:val="285"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ascii="宋体" w:hAnsi="宋体" w:cs="宋体"/>
                <w:color w:val="000000"/>
                <w:sz w:val="20"/>
                <w:szCs w:val="20"/>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bottom"/>
          </w:tcPr>
          <w:p>
            <w:pPr>
              <w:jc w:val="center"/>
              <w:rPr>
                <w:rFonts w:ascii="宋体" w:hAnsi="宋体" w:cs="宋体"/>
                <w:color w:val="000000"/>
                <w:sz w:val="20"/>
                <w:szCs w:val="2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分配过程</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分配过程符合相关规定</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 w:val="20"/>
                <w:szCs w:val="20"/>
              </w:rPr>
            </w:pPr>
            <w:r>
              <w:rPr>
                <w:rFonts w:ascii="宋体" w:hAnsi="宋体" w:cs="宋体"/>
                <w:color w:val="000000"/>
                <w:sz w:val="20"/>
                <w:szCs w:val="20"/>
              </w:rPr>
              <w:t>符合</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 w:val="20"/>
                <w:szCs w:val="20"/>
              </w:rPr>
            </w:pPr>
            <w:r>
              <w:rPr>
                <w:rFonts w:ascii="宋体" w:hAnsi="宋体" w:cs="宋体"/>
                <w:color w:val="000000"/>
                <w:sz w:val="20"/>
                <w:szCs w:val="20"/>
              </w:rPr>
              <w:t>符合</w:t>
            </w:r>
          </w:p>
        </w:tc>
      </w:tr>
      <w:tr>
        <w:tblPrEx>
          <w:tblCellMar>
            <w:top w:w="15" w:type="dxa"/>
            <w:left w:w="15" w:type="dxa"/>
            <w:bottom w:w="15" w:type="dxa"/>
            <w:right w:w="15" w:type="dxa"/>
          </w:tblCellMar>
        </w:tblPrEx>
        <w:trPr>
          <w:trHeight w:val="765"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ascii="宋体" w:hAnsi="宋体" w:cs="宋体"/>
                <w:color w:val="000000"/>
                <w:sz w:val="20"/>
                <w:szCs w:val="20"/>
              </w:rPr>
            </w:pPr>
          </w:p>
        </w:tc>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分配结果</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审核把关</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符合申报条件的抽样项目点个数/抽样项目点总数×100%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 w:val="20"/>
                <w:szCs w:val="20"/>
              </w:rPr>
            </w:pPr>
            <w:r>
              <w:rPr>
                <w:rFonts w:hint="eastAsia" w:ascii="宋体" w:hAnsi="宋体" w:cs="宋体"/>
                <w:color w:val="000000"/>
                <w:sz w:val="20"/>
                <w:szCs w:val="20"/>
              </w:rPr>
              <w:t>1个</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 w:val="20"/>
                <w:szCs w:val="20"/>
              </w:rPr>
            </w:pPr>
            <w:r>
              <w:rPr>
                <w:rFonts w:hint="eastAsia" w:ascii="宋体" w:hAnsi="宋体" w:cs="宋体"/>
                <w:color w:val="000000"/>
                <w:sz w:val="20"/>
                <w:szCs w:val="20"/>
              </w:rPr>
              <w:t>1个</w:t>
            </w:r>
          </w:p>
        </w:tc>
      </w:tr>
      <w:tr>
        <w:tblPrEx>
          <w:tblCellMar>
            <w:top w:w="15" w:type="dxa"/>
            <w:left w:w="15" w:type="dxa"/>
            <w:bottom w:w="15" w:type="dxa"/>
            <w:right w:w="15" w:type="dxa"/>
          </w:tblCellMar>
        </w:tblPrEx>
        <w:trPr>
          <w:trHeight w:val="1020"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ascii="宋体" w:hAnsi="宋体" w:cs="宋体"/>
                <w:color w:val="000000"/>
                <w:sz w:val="20"/>
                <w:szCs w:val="20"/>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bottom"/>
          </w:tcPr>
          <w:p>
            <w:pPr>
              <w:jc w:val="center"/>
              <w:rPr>
                <w:rFonts w:ascii="宋体" w:hAnsi="宋体" w:cs="宋体"/>
                <w:color w:val="000000"/>
                <w:sz w:val="20"/>
                <w:szCs w:val="2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资金集中</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集中</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财政资金占项目资金总额比重较小项目个数/项目总数×100%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 w:val="20"/>
                <w:szCs w:val="20"/>
              </w:rPr>
            </w:pPr>
            <w:r>
              <w:rPr>
                <w:rFonts w:hint="eastAsia" w:ascii="宋体" w:hAnsi="宋体" w:cs="宋体"/>
                <w:color w:val="000000"/>
                <w:sz w:val="20"/>
                <w:szCs w:val="20"/>
              </w:rPr>
              <w:t>1个</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 w:val="20"/>
                <w:szCs w:val="20"/>
              </w:rPr>
            </w:pPr>
            <w:r>
              <w:rPr>
                <w:rFonts w:hint="eastAsia" w:ascii="宋体" w:hAnsi="宋体" w:cs="宋体"/>
                <w:color w:val="000000"/>
                <w:sz w:val="20"/>
                <w:szCs w:val="20"/>
              </w:rPr>
              <w:t>1个</w:t>
            </w:r>
          </w:p>
        </w:tc>
      </w:tr>
      <w:tr>
        <w:tblPrEx>
          <w:tblCellMar>
            <w:top w:w="15" w:type="dxa"/>
            <w:left w:w="15" w:type="dxa"/>
            <w:bottom w:w="15" w:type="dxa"/>
            <w:right w:w="15" w:type="dxa"/>
          </w:tblCellMar>
        </w:tblPrEx>
        <w:trPr>
          <w:trHeight w:val="735"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ascii="宋体" w:hAnsi="宋体" w:cs="宋体"/>
                <w:color w:val="000000"/>
                <w:sz w:val="20"/>
                <w:szCs w:val="20"/>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bottom"/>
          </w:tcPr>
          <w:p>
            <w:pPr>
              <w:jc w:val="center"/>
              <w:rPr>
                <w:rFonts w:ascii="宋体" w:hAnsi="宋体" w:cs="宋体"/>
                <w:color w:val="000000"/>
                <w:sz w:val="20"/>
                <w:szCs w:val="2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（均衡）</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均衡</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按实际分配结果选择客观因素测算验证资金分配方法制定、分配要素设定、基础数据应用、测算依据选取等是否科学合理（2分）</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 w:val="20"/>
                <w:szCs w:val="20"/>
              </w:rPr>
            </w:pPr>
            <w:r>
              <w:rPr>
                <w:rFonts w:ascii="宋体" w:hAnsi="宋体" w:cs="宋体"/>
                <w:color w:val="000000"/>
                <w:sz w:val="20"/>
                <w:szCs w:val="20"/>
              </w:rPr>
              <w:t>合理</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 w:val="20"/>
                <w:szCs w:val="20"/>
              </w:rPr>
            </w:pPr>
            <w:r>
              <w:rPr>
                <w:rFonts w:ascii="宋体" w:hAnsi="宋体" w:cs="宋体"/>
                <w:color w:val="000000"/>
                <w:sz w:val="20"/>
                <w:szCs w:val="20"/>
              </w:rPr>
              <w:t>合理</w:t>
            </w:r>
          </w:p>
        </w:tc>
      </w:tr>
      <w:tr>
        <w:tblPrEx>
          <w:tblCellMar>
            <w:top w:w="15" w:type="dxa"/>
            <w:left w:w="15" w:type="dxa"/>
            <w:bottom w:w="15" w:type="dxa"/>
            <w:right w:w="15" w:type="dxa"/>
          </w:tblCellMar>
        </w:tblPrEx>
        <w:trPr>
          <w:trHeight w:val="540"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项目管理</w:t>
            </w:r>
          </w:p>
        </w:tc>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 资金到位</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分配时效</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县级主管部门按规定及时分配资金</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 w:val="20"/>
                <w:szCs w:val="20"/>
              </w:rPr>
            </w:pPr>
            <w:r>
              <w:rPr>
                <w:rFonts w:ascii="宋体" w:hAnsi="宋体" w:cs="宋体"/>
                <w:color w:val="000000"/>
                <w:sz w:val="20"/>
                <w:szCs w:val="20"/>
              </w:rPr>
              <w:t>及时</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 w:val="20"/>
                <w:szCs w:val="20"/>
              </w:rPr>
            </w:pPr>
            <w:r>
              <w:rPr>
                <w:rFonts w:ascii="宋体" w:hAnsi="宋体" w:cs="宋体"/>
                <w:color w:val="000000"/>
                <w:sz w:val="20"/>
                <w:szCs w:val="20"/>
              </w:rPr>
              <w:t>及时</w:t>
            </w:r>
          </w:p>
        </w:tc>
      </w:tr>
      <w:tr>
        <w:tblPrEx>
          <w:tblCellMar>
            <w:top w:w="15" w:type="dxa"/>
            <w:left w:w="15" w:type="dxa"/>
            <w:bottom w:w="15" w:type="dxa"/>
            <w:right w:w="15" w:type="dxa"/>
          </w:tblCellMar>
        </w:tblPrEx>
        <w:trPr>
          <w:trHeight w:val="1155"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ascii="宋体" w:hAnsi="宋体" w:cs="宋体"/>
                <w:color w:val="000000"/>
                <w:sz w:val="20"/>
                <w:szCs w:val="20"/>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资金拨付</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按规定及时拨付资金</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 w:val="20"/>
                <w:szCs w:val="20"/>
              </w:rPr>
            </w:pPr>
            <w:r>
              <w:rPr>
                <w:rFonts w:ascii="宋体" w:hAnsi="宋体" w:cs="宋体"/>
                <w:color w:val="000000"/>
                <w:sz w:val="20"/>
                <w:szCs w:val="20"/>
              </w:rPr>
              <w:t>及时</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 w:val="20"/>
                <w:szCs w:val="20"/>
              </w:rPr>
            </w:pPr>
            <w:r>
              <w:rPr>
                <w:rFonts w:ascii="宋体" w:hAnsi="宋体" w:cs="宋体"/>
                <w:color w:val="000000"/>
                <w:sz w:val="20"/>
                <w:szCs w:val="20"/>
              </w:rPr>
              <w:t>及时</w:t>
            </w:r>
          </w:p>
        </w:tc>
      </w:tr>
      <w:tr>
        <w:tblPrEx>
          <w:tblCellMar>
            <w:top w:w="15" w:type="dxa"/>
            <w:left w:w="15" w:type="dxa"/>
            <w:bottom w:w="15" w:type="dxa"/>
            <w:right w:w="15" w:type="dxa"/>
          </w:tblCellMar>
        </w:tblPrEx>
        <w:trPr>
          <w:trHeight w:val="285"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ascii="宋体" w:hAnsi="宋体" w:cs="宋体"/>
                <w:color w:val="000000"/>
                <w:sz w:val="20"/>
                <w:szCs w:val="20"/>
              </w:rPr>
            </w:pPr>
          </w:p>
        </w:tc>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资金管理  </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使用范围</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资金使用是否合规</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 w:val="20"/>
                <w:szCs w:val="20"/>
              </w:rPr>
            </w:pPr>
            <w:r>
              <w:rPr>
                <w:rFonts w:ascii="宋体" w:hAnsi="宋体" w:cs="宋体"/>
                <w:color w:val="000000"/>
                <w:sz w:val="20"/>
                <w:szCs w:val="20"/>
              </w:rPr>
              <w:t>是</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 w:val="20"/>
                <w:szCs w:val="20"/>
              </w:rPr>
            </w:pPr>
            <w:r>
              <w:rPr>
                <w:rFonts w:ascii="宋体" w:hAnsi="宋体" w:cs="宋体"/>
                <w:color w:val="000000"/>
                <w:sz w:val="20"/>
                <w:szCs w:val="20"/>
              </w:rPr>
              <w:t>是</w:t>
            </w:r>
          </w:p>
        </w:tc>
      </w:tr>
      <w:tr>
        <w:tblPrEx>
          <w:tblCellMar>
            <w:top w:w="15" w:type="dxa"/>
            <w:left w:w="15" w:type="dxa"/>
            <w:bottom w:w="15" w:type="dxa"/>
            <w:right w:w="15" w:type="dxa"/>
          </w:tblCellMar>
        </w:tblPrEx>
        <w:trPr>
          <w:trHeight w:val="285"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ascii="宋体" w:hAnsi="宋体" w:cs="宋体"/>
                <w:color w:val="000000"/>
                <w:sz w:val="20"/>
                <w:szCs w:val="20"/>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支付依据</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资金支付依据符合规定，即支付依旧合规资金量/资金总量×100%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 w:val="20"/>
                <w:szCs w:val="20"/>
              </w:rPr>
            </w:pPr>
            <w:r>
              <w:rPr>
                <w:rFonts w:ascii="宋体" w:hAnsi="宋体" w:cs="宋体"/>
                <w:color w:val="000000"/>
                <w:sz w:val="20"/>
                <w:szCs w:val="20"/>
              </w:rPr>
              <w:t>符合</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 w:val="20"/>
                <w:szCs w:val="20"/>
              </w:rPr>
            </w:pPr>
            <w:r>
              <w:rPr>
                <w:rFonts w:ascii="宋体" w:hAnsi="宋体" w:cs="宋体"/>
                <w:color w:val="000000"/>
                <w:sz w:val="20"/>
                <w:szCs w:val="20"/>
              </w:rPr>
              <w:t>符合</w:t>
            </w:r>
          </w:p>
        </w:tc>
      </w:tr>
      <w:tr>
        <w:tblPrEx>
          <w:tblCellMar>
            <w:top w:w="15" w:type="dxa"/>
            <w:left w:w="15" w:type="dxa"/>
            <w:bottom w:w="15" w:type="dxa"/>
            <w:right w:w="15" w:type="dxa"/>
          </w:tblCellMar>
        </w:tblPrEx>
        <w:trPr>
          <w:trHeight w:val="285"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ascii="宋体" w:hAnsi="宋体" w:cs="宋体"/>
                <w:color w:val="000000"/>
                <w:sz w:val="20"/>
                <w:szCs w:val="20"/>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开支标准</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资金开支标准符合规定，即开支标准合规资金量/资金总量×100%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 w:val="20"/>
                <w:szCs w:val="20"/>
              </w:rPr>
            </w:pPr>
            <w:r>
              <w:rPr>
                <w:rFonts w:ascii="宋体" w:hAnsi="宋体" w:cs="宋体"/>
                <w:color w:val="000000"/>
                <w:sz w:val="20"/>
                <w:szCs w:val="20"/>
              </w:rPr>
              <w:t>符合</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 w:val="20"/>
                <w:szCs w:val="20"/>
              </w:rPr>
            </w:pPr>
            <w:r>
              <w:rPr>
                <w:rFonts w:ascii="宋体" w:hAnsi="宋体" w:cs="宋体"/>
                <w:color w:val="000000"/>
                <w:sz w:val="20"/>
                <w:szCs w:val="20"/>
              </w:rPr>
              <w:t>符合</w:t>
            </w:r>
          </w:p>
        </w:tc>
      </w:tr>
      <w:tr>
        <w:tblPrEx>
          <w:tblCellMar>
            <w:top w:w="15" w:type="dxa"/>
            <w:left w:w="15" w:type="dxa"/>
            <w:bottom w:w="15" w:type="dxa"/>
            <w:right w:w="15" w:type="dxa"/>
          </w:tblCellMar>
        </w:tblPrEx>
        <w:trPr>
          <w:trHeight w:val="735"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ascii="宋体" w:hAnsi="宋体" w:cs="宋体"/>
                <w:color w:val="000000"/>
                <w:sz w:val="20"/>
                <w:szCs w:val="20"/>
              </w:rPr>
            </w:pPr>
          </w:p>
        </w:tc>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财务管理</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财务制度</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财务制度健全，管理规范</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 w:val="20"/>
                <w:szCs w:val="20"/>
              </w:rPr>
            </w:pPr>
            <w:r>
              <w:rPr>
                <w:rFonts w:ascii="宋体" w:hAnsi="宋体" w:cs="宋体"/>
                <w:color w:val="000000"/>
                <w:sz w:val="20"/>
                <w:szCs w:val="20"/>
              </w:rPr>
              <w:t>规范</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 w:val="20"/>
                <w:szCs w:val="20"/>
              </w:rPr>
            </w:pPr>
            <w:r>
              <w:rPr>
                <w:rFonts w:ascii="宋体" w:hAnsi="宋体" w:cs="宋体"/>
                <w:color w:val="000000"/>
                <w:sz w:val="20"/>
                <w:szCs w:val="20"/>
              </w:rPr>
              <w:t>规范</w:t>
            </w:r>
          </w:p>
        </w:tc>
      </w:tr>
      <w:tr>
        <w:tblPrEx>
          <w:tblCellMar>
            <w:top w:w="15" w:type="dxa"/>
            <w:left w:w="15" w:type="dxa"/>
            <w:bottom w:w="15" w:type="dxa"/>
            <w:right w:w="15" w:type="dxa"/>
          </w:tblCellMar>
        </w:tblPrEx>
        <w:trPr>
          <w:trHeight w:val="285"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ascii="宋体" w:hAnsi="宋体" w:cs="宋体"/>
                <w:color w:val="000000"/>
                <w:sz w:val="20"/>
                <w:szCs w:val="20"/>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会计核算</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会计核算规范</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 w:val="20"/>
                <w:szCs w:val="20"/>
              </w:rPr>
            </w:pPr>
            <w:r>
              <w:rPr>
                <w:rFonts w:ascii="宋体" w:hAnsi="宋体" w:cs="宋体"/>
                <w:color w:val="000000"/>
                <w:sz w:val="20"/>
                <w:szCs w:val="20"/>
              </w:rPr>
              <w:t>规范</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 w:val="20"/>
                <w:szCs w:val="20"/>
              </w:rPr>
            </w:pPr>
            <w:r>
              <w:rPr>
                <w:rFonts w:ascii="宋体" w:hAnsi="宋体" w:cs="宋体"/>
                <w:color w:val="000000"/>
                <w:sz w:val="20"/>
                <w:szCs w:val="20"/>
              </w:rPr>
              <w:t>规范</w:t>
            </w:r>
          </w:p>
        </w:tc>
      </w:tr>
      <w:tr>
        <w:tblPrEx>
          <w:tblCellMar>
            <w:top w:w="15" w:type="dxa"/>
            <w:left w:w="15" w:type="dxa"/>
            <w:bottom w:w="15" w:type="dxa"/>
            <w:right w:w="15" w:type="dxa"/>
          </w:tblCellMar>
        </w:tblPrEx>
        <w:trPr>
          <w:trHeight w:val="285"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ascii="宋体" w:hAnsi="宋体" w:cs="宋体"/>
                <w:color w:val="000000"/>
                <w:sz w:val="20"/>
                <w:szCs w:val="20"/>
              </w:rPr>
            </w:pPr>
          </w:p>
        </w:tc>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组织实施（4分）</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项目调整</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项目调整严格履行相关手续</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 w:val="20"/>
                <w:szCs w:val="20"/>
              </w:rPr>
            </w:pPr>
            <w:r>
              <w:rPr>
                <w:rFonts w:ascii="宋体" w:hAnsi="宋体" w:cs="宋体"/>
                <w:color w:val="000000"/>
                <w:sz w:val="20"/>
                <w:szCs w:val="20"/>
              </w:rPr>
              <w:t>履行</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 w:val="20"/>
                <w:szCs w:val="20"/>
              </w:rPr>
            </w:pPr>
            <w:r>
              <w:rPr>
                <w:rFonts w:ascii="宋体" w:hAnsi="宋体" w:cs="宋体"/>
                <w:color w:val="000000"/>
                <w:sz w:val="20"/>
                <w:szCs w:val="20"/>
              </w:rPr>
              <w:t>履行</w:t>
            </w:r>
          </w:p>
        </w:tc>
      </w:tr>
      <w:tr>
        <w:tblPrEx>
          <w:tblCellMar>
            <w:top w:w="15" w:type="dxa"/>
            <w:left w:w="15" w:type="dxa"/>
            <w:bottom w:w="15" w:type="dxa"/>
            <w:right w:w="15" w:type="dxa"/>
          </w:tblCellMar>
        </w:tblPrEx>
        <w:trPr>
          <w:trHeight w:val="855"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ascii="宋体" w:hAnsi="宋体" w:cs="宋体"/>
                <w:color w:val="000000"/>
                <w:sz w:val="20"/>
                <w:szCs w:val="20"/>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bottom"/>
          </w:tcPr>
          <w:p>
            <w:pPr>
              <w:jc w:val="center"/>
              <w:rPr>
                <w:rFonts w:ascii="宋体" w:hAnsi="宋体" w:cs="宋体"/>
                <w:color w:val="000000"/>
                <w:sz w:val="20"/>
                <w:szCs w:val="2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投资变更</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项目投资变更额/项目总投入×100%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 w:val="20"/>
                <w:szCs w:val="20"/>
              </w:rPr>
            </w:pPr>
            <w:r>
              <w:rPr>
                <w:rFonts w:ascii="宋体" w:hAnsi="宋体" w:cs="宋体"/>
                <w:color w:val="000000"/>
                <w:sz w:val="20"/>
                <w:szCs w:val="20"/>
              </w:rPr>
              <w:t>否</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 w:val="20"/>
                <w:szCs w:val="20"/>
              </w:rPr>
            </w:pPr>
            <w:r>
              <w:rPr>
                <w:rFonts w:ascii="宋体" w:hAnsi="宋体" w:cs="宋体"/>
                <w:color w:val="000000"/>
                <w:sz w:val="20"/>
                <w:szCs w:val="20"/>
              </w:rPr>
              <w:t>否</w:t>
            </w:r>
          </w:p>
        </w:tc>
      </w:tr>
      <w:tr>
        <w:tblPrEx>
          <w:tblCellMar>
            <w:top w:w="15" w:type="dxa"/>
            <w:left w:w="15" w:type="dxa"/>
            <w:bottom w:w="15" w:type="dxa"/>
            <w:right w:w="15" w:type="dxa"/>
          </w:tblCellMar>
        </w:tblPrEx>
        <w:trPr>
          <w:trHeight w:val="765"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ascii="宋体" w:hAnsi="宋体" w:cs="宋体"/>
                <w:color w:val="000000"/>
                <w:sz w:val="20"/>
                <w:szCs w:val="20"/>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bottom"/>
          </w:tcPr>
          <w:p>
            <w:pPr>
              <w:jc w:val="center"/>
              <w:rPr>
                <w:rFonts w:ascii="宋体" w:hAnsi="宋体" w:cs="宋体"/>
                <w:color w:val="000000"/>
                <w:sz w:val="20"/>
                <w:szCs w:val="2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制度执行</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严格执行项目有关制度规定</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 w:val="20"/>
                <w:szCs w:val="20"/>
              </w:rPr>
            </w:pPr>
            <w:r>
              <w:rPr>
                <w:rFonts w:ascii="宋体" w:hAnsi="宋体" w:cs="宋体"/>
                <w:color w:val="000000"/>
                <w:sz w:val="20"/>
                <w:szCs w:val="20"/>
              </w:rPr>
              <w:t>严格</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 w:val="20"/>
                <w:szCs w:val="20"/>
              </w:rPr>
            </w:pPr>
            <w:r>
              <w:rPr>
                <w:rFonts w:ascii="宋体" w:hAnsi="宋体" w:cs="宋体"/>
                <w:color w:val="000000"/>
                <w:sz w:val="20"/>
                <w:szCs w:val="20"/>
              </w:rPr>
              <w:t>严格</w:t>
            </w:r>
          </w:p>
        </w:tc>
      </w:tr>
      <w:tr>
        <w:tblPrEx>
          <w:tblCellMar>
            <w:top w:w="15" w:type="dxa"/>
            <w:left w:w="15" w:type="dxa"/>
            <w:bottom w:w="15" w:type="dxa"/>
            <w:right w:w="15" w:type="dxa"/>
          </w:tblCellMar>
        </w:tblPrEx>
        <w:trPr>
          <w:trHeight w:val="285"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项目绩效</w:t>
            </w:r>
          </w:p>
        </w:tc>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项目完成</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完成数量</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实际完成任务量/绩效目标设定任务量×100%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 w:val="20"/>
                <w:szCs w:val="20"/>
              </w:rPr>
            </w:pPr>
            <w:r>
              <w:rPr>
                <w:rFonts w:hint="eastAsia" w:ascii="宋体" w:hAnsi="宋体" w:cs="宋体"/>
                <w:color w:val="000000"/>
                <w:sz w:val="20"/>
                <w:szCs w:val="20"/>
              </w:rPr>
              <w:t>1个</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 w:val="20"/>
                <w:szCs w:val="20"/>
              </w:rPr>
            </w:pPr>
            <w:r>
              <w:rPr>
                <w:rFonts w:hint="eastAsia" w:ascii="宋体" w:hAnsi="宋体" w:cs="宋体"/>
                <w:color w:val="000000"/>
                <w:sz w:val="20"/>
                <w:szCs w:val="20"/>
              </w:rPr>
              <w:t>1个</w:t>
            </w:r>
          </w:p>
        </w:tc>
      </w:tr>
      <w:tr>
        <w:tblPrEx>
          <w:tblCellMar>
            <w:top w:w="15" w:type="dxa"/>
            <w:left w:w="15" w:type="dxa"/>
            <w:bottom w:w="15" w:type="dxa"/>
            <w:right w:w="15" w:type="dxa"/>
          </w:tblCellMar>
        </w:tblPrEx>
        <w:trPr>
          <w:trHeight w:val="285"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ascii="宋体" w:hAnsi="宋体" w:cs="宋体"/>
                <w:color w:val="000000"/>
                <w:sz w:val="20"/>
                <w:szCs w:val="20"/>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bottom"/>
          </w:tcPr>
          <w:p>
            <w:pPr>
              <w:jc w:val="center"/>
              <w:rPr>
                <w:rFonts w:ascii="宋体" w:hAnsi="宋体" w:cs="宋体"/>
                <w:color w:val="000000"/>
                <w:sz w:val="20"/>
                <w:szCs w:val="2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完成质量</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符合绩效目标设定的验收标准，达到行业基准水平</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 w:val="20"/>
                <w:szCs w:val="20"/>
              </w:rPr>
            </w:pPr>
            <w:r>
              <w:rPr>
                <w:rFonts w:ascii="宋体" w:hAnsi="宋体" w:cs="宋体"/>
                <w:color w:val="000000"/>
                <w:sz w:val="20"/>
                <w:szCs w:val="20"/>
              </w:rPr>
              <w:t>符合</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 w:val="20"/>
                <w:szCs w:val="20"/>
              </w:rPr>
            </w:pPr>
            <w:r>
              <w:rPr>
                <w:rFonts w:ascii="宋体" w:hAnsi="宋体" w:cs="宋体"/>
                <w:color w:val="000000"/>
                <w:sz w:val="20"/>
                <w:szCs w:val="20"/>
              </w:rPr>
              <w:t>符合</w:t>
            </w:r>
          </w:p>
        </w:tc>
      </w:tr>
      <w:tr>
        <w:tblPrEx>
          <w:tblCellMar>
            <w:top w:w="15" w:type="dxa"/>
            <w:left w:w="15" w:type="dxa"/>
            <w:bottom w:w="15" w:type="dxa"/>
            <w:right w:w="15" w:type="dxa"/>
          </w:tblCellMar>
        </w:tblPrEx>
        <w:trPr>
          <w:trHeight w:val="795"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ascii="宋体" w:hAnsi="宋体" w:cs="宋体"/>
                <w:color w:val="000000"/>
                <w:sz w:val="20"/>
                <w:szCs w:val="20"/>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bottom"/>
          </w:tcPr>
          <w:p>
            <w:pPr>
              <w:jc w:val="center"/>
              <w:rPr>
                <w:rFonts w:ascii="宋体" w:hAnsi="宋体" w:cs="宋体"/>
                <w:color w:val="000000"/>
                <w:sz w:val="20"/>
                <w:szCs w:val="2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完成时效</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（实际完成时间-绩效目标设定完成时间）/绩效目标设定完成时间×100%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 w:val="20"/>
                <w:szCs w:val="20"/>
              </w:rPr>
            </w:pPr>
            <w:r>
              <w:rPr>
                <w:rFonts w:ascii="宋体" w:hAnsi="宋体" w:cs="宋体"/>
                <w:color w:val="000000"/>
                <w:sz w:val="20"/>
                <w:szCs w:val="20"/>
              </w:rPr>
              <w:t>及时</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 w:val="20"/>
                <w:szCs w:val="20"/>
              </w:rPr>
            </w:pPr>
            <w:r>
              <w:rPr>
                <w:rFonts w:ascii="宋体" w:hAnsi="宋体" w:cs="宋体"/>
                <w:color w:val="000000"/>
                <w:sz w:val="20"/>
                <w:szCs w:val="20"/>
              </w:rPr>
              <w:t>及时</w:t>
            </w:r>
          </w:p>
        </w:tc>
      </w:tr>
      <w:tr>
        <w:tblPrEx>
          <w:tblCellMar>
            <w:top w:w="15" w:type="dxa"/>
            <w:left w:w="15" w:type="dxa"/>
            <w:bottom w:w="15" w:type="dxa"/>
            <w:right w:w="15" w:type="dxa"/>
          </w:tblCellMar>
        </w:tblPrEx>
        <w:trPr>
          <w:trHeight w:val="285"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ascii="宋体" w:hAnsi="宋体" w:cs="宋体"/>
                <w:color w:val="000000"/>
                <w:sz w:val="20"/>
                <w:szCs w:val="20"/>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bottom"/>
          </w:tcPr>
          <w:p>
            <w:pPr>
              <w:jc w:val="center"/>
              <w:rPr>
                <w:rFonts w:ascii="宋体" w:hAnsi="宋体" w:cs="宋体"/>
                <w:color w:val="000000"/>
                <w:sz w:val="20"/>
                <w:szCs w:val="2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完成成本</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（实际完成成本-预计完成成本）/预计完成成本×100%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 w:val="20"/>
                <w:szCs w:val="20"/>
              </w:rPr>
            </w:pPr>
            <w:r>
              <w:rPr>
                <w:rFonts w:ascii="宋体" w:hAnsi="宋体" w:cs="宋体"/>
                <w:color w:val="000000"/>
                <w:sz w:val="20"/>
                <w:szCs w:val="20"/>
              </w:rPr>
              <w:t>好</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 w:val="20"/>
                <w:szCs w:val="20"/>
              </w:rPr>
            </w:pPr>
            <w:r>
              <w:rPr>
                <w:rFonts w:ascii="宋体" w:hAnsi="宋体" w:cs="宋体"/>
                <w:color w:val="000000"/>
                <w:sz w:val="20"/>
                <w:szCs w:val="20"/>
              </w:rPr>
              <w:t>好</w:t>
            </w:r>
          </w:p>
        </w:tc>
      </w:tr>
      <w:tr>
        <w:tblPrEx>
          <w:tblCellMar>
            <w:top w:w="15" w:type="dxa"/>
            <w:left w:w="15" w:type="dxa"/>
            <w:bottom w:w="15" w:type="dxa"/>
            <w:right w:w="15" w:type="dxa"/>
          </w:tblCellMar>
        </w:tblPrEx>
        <w:trPr>
          <w:trHeight w:val="720"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ascii="宋体" w:hAnsi="宋体" w:cs="宋体"/>
                <w:color w:val="000000"/>
                <w:sz w:val="20"/>
                <w:szCs w:val="20"/>
              </w:rPr>
            </w:pPr>
          </w:p>
        </w:tc>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项目效益</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经济效益</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反映相关产出对经济社会发展带来的影响和效果，根据项目实际细化具体指标。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 w:val="20"/>
                <w:szCs w:val="20"/>
              </w:rPr>
            </w:pPr>
            <w:r>
              <w:rPr>
                <w:rFonts w:hint="eastAsia" w:ascii="宋体" w:hAnsi="宋体" w:cs="宋体"/>
                <w:color w:val="000000"/>
                <w:sz w:val="20"/>
                <w:szCs w:val="20"/>
              </w:rPr>
              <w:t>无</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 w:val="20"/>
                <w:szCs w:val="20"/>
              </w:rPr>
            </w:pPr>
            <w:r>
              <w:rPr>
                <w:rFonts w:hint="eastAsia" w:ascii="宋体" w:hAnsi="宋体" w:cs="宋体"/>
                <w:color w:val="000000"/>
                <w:sz w:val="20"/>
                <w:szCs w:val="20"/>
              </w:rPr>
              <w:t>无</w:t>
            </w:r>
          </w:p>
        </w:tc>
      </w:tr>
      <w:tr>
        <w:tblPrEx>
          <w:tblCellMar>
            <w:top w:w="15" w:type="dxa"/>
            <w:left w:w="15" w:type="dxa"/>
            <w:bottom w:w="15" w:type="dxa"/>
            <w:right w:w="15" w:type="dxa"/>
          </w:tblCellMar>
        </w:tblPrEx>
        <w:trPr>
          <w:trHeight w:val="735"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ascii="宋体" w:hAnsi="宋体" w:cs="宋体"/>
                <w:color w:val="000000"/>
                <w:sz w:val="20"/>
                <w:szCs w:val="20"/>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bottom"/>
          </w:tcPr>
          <w:p>
            <w:pPr>
              <w:jc w:val="center"/>
              <w:rPr>
                <w:rFonts w:ascii="宋体" w:hAnsi="宋体" w:cs="宋体"/>
                <w:color w:val="000000"/>
                <w:sz w:val="20"/>
                <w:szCs w:val="2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社会效益</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反映相关产出对社会发展带来的影响和效果，根据项目实际细化具体指标。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 w:val="20"/>
                <w:szCs w:val="20"/>
              </w:rPr>
            </w:pPr>
            <w:r>
              <w:rPr>
                <w:rFonts w:hint="eastAsia" w:ascii="宋体" w:hAnsi="宋体" w:cs="宋体"/>
                <w:color w:val="000000"/>
                <w:sz w:val="20"/>
                <w:szCs w:val="20"/>
              </w:rPr>
              <w:t>无</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 w:val="20"/>
                <w:szCs w:val="20"/>
              </w:rPr>
            </w:pPr>
            <w:r>
              <w:rPr>
                <w:rFonts w:hint="eastAsia" w:ascii="宋体" w:hAnsi="宋体" w:cs="宋体"/>
                <w:color w:val="000000"/>
                <w:sz w:val="20"/>
                <w:szCs w:val="20"/>
              </w:rPr>
              <w:t>无</w:t>
            </w:r>
          </w:p>
        </w:tc>
      </w:tr>
      <w:tr>
        <w:tblPrEx>
          <w:tblCellMar>
            <w:top w:w="15" w:type="dxa"/>
            <w:left w:w="15" w:type="dxa"/>
            <w:bottom w:w="15" w:type="dxa"/>
            <w:right w:w="15" w:type="dxa"/>
          </w:tblCellMar>
        </w:tblPrEx>
        <w:trPr>
          <w:trHeight w:val="720"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ascii="宋体" w:hAnsi="宋体" w:cs="宋体"/>
                <w:color w:val="000000"/>
                <w:sz w:val="20"/>
                <w:szCs w:val="20"/>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bottom"/>
          </w:tcPr>
          <w:p>
            <w:pPr>
              <w:jc w:val="center"/>
              <w:rPr>
                <w:rFonts w:ascii="宋体" w:hAnsi="宋体" w:cs="宋体"/>
                <w:color w:val="000000"/>
                <w:sz w:val="20"/>
                <w:szCs w:val="2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生态效益</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反映相关产出对自然环境带来的影响和效果，根据项目实际细化具体指标。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 w:val="20"/>
                <w:szCs w:val="20"/>
              </w:rPr>
            </w:pPr>
            <w:r>
              <w:rPr>
                <w:rFonts w:hint="eastAsia" w:ascii="宋体" w:hAnsi="宋体" w:cs="宋体"/>
                <w:color w:val="000000"/>
                <w:sz w:val="20"/>
                <w:szCs w:val="20"/>
              </w:rPr>
              <w:t>无</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 w:val="20"/>
                <w:szCs w:val="20"/>
              </w:rPr>
            </w:pPr>
            <w:r>
              <w:rPr>
                <w:rFonts w:hint="eastAsia" w:ascii="宋体" w:hAnsi="宋体" w:cs="宋体"/>
                <w:color w:val="000000"/>
                <w:sz w:val="20"/>
                <w:szCs w:val="20"/>
              </w:rPr>
              <w:t>无</w:t>
            </w:r>
          </w:p>
        </w:tc>
      </w:tr>
      <w:tr>
        <w:tblPrEx>
          <w:tblCellMar>
            <w:top w:w="15" w:type="dxa"/>
            <w:left w:w="15" w:type="dxa"/>
            <w:bottom w:w="15" w:type="dxa"/>
            <w:right w:w="15" w:type="dxa"/>
          </w:tblCellMar>
        </w:tblPrEx>
        <w:trPr>
          <w:trHeight w:val="750"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ascii="宋体" w:hAnsi="宋体" w:cs="宋体"/>
                <w:color w:val="000000"/>
                <w:sz w:val="20"/>
                <w:szCs w:val="20"/>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bottom"/>
          </w:tcPr>
          <w:p>
            <w:pPr>
              <w:jc w:val="center"/>
              <w:rPr>
                <w:rFonts w:ascii="宋体" w:hAnsi="宋体" w:cs="宋体"/>
                <w:color w:val="000000"/>
                <w:sz w:val="20"/>
                <w:szCs w:val="2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可持续效益</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反映相关产出带来影响的可持续期限，根据项目实际细化具体指标。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 w:val="20"/>
                <w:szCs w:val="20"/>
              </w:rPr>
            </w:pPr>
            <w:r>
              <w:rPr>
                <w:rFonts w:hint="eastAsia" w:ascii="宋体" w:hAnsi="宋体" w:cs="宋体"/>
                <w:color w:val="000000"/>
                <w:sz w:val="20"/>
                <w:szCs w:val="20"/>
              </w:rPr>
              <w:t>无</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 w:val="20"/>
                <w:szCs w:val="20"/>
              </w:rPr>
            </w:pPr>
            <w:r>
              <w:rPr>
                <w:rFonts w:hint="eastAsia" w:ascii="宋体" w:hAnsi="宋体" w:cs="宋体"/>
                <w:color w:val="000000"/>
                <w:sz w:val="20"/>
                <w:szCs w:val="20"/>
              </w:rPr>
              <w:t>无</w:t>
            </w:r>
          </w:p>
        </w:tc>
      </w:tr>
      <w:tr>
        <w:tblPrEx>
          <w:tblCellMar>
            <w:top w:w="15" w:type="dxa"/>
            <w:left w:w="15" w:type="dxa"/>
            <w:bottom w:w="15" w:type="dxa"/>
            <w:right w:w="15" w:type="dxa"/>
          </w:tblCellMar>
        </w:tblPrEx>
        <w:trPr>
          <w:trHeight w:val="1080"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ascii="宋体" w:hAnsi="宋体" w:cs="宋体"/>
                <w:color w:val="000000"/>
                <w:sz w:val="20"/>
                <w:szCs w:val="20"/>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满意度</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服务对象满意度</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反映服务对象或项目受益人对相关产出及其影响的认可程度，根据项目实际细化具体指标。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 w:val="20"/>
                <w:szCs w:val="20"/>
              </w:rPr>
            </w:pPr>
            <w:r>
              <w:rPr>
                <w:rFonts w:ascii="宋体" w:hAnsi="宋体" w:cs="宋体"/>
                <w:color w:val="000000"/>
                <w:sz w:val="20"/>
                <w:szCs w:val="20"/>
              </w:rPr>
              <w:t>满意</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 w:val="20"/>
                <w:szCs w:val="20"/>
              </w:rPr>
            </w:pPr>
            <w:r>
              <w:rPr>
                <w:rFonts w:ascii="宋体" w:hAnsi="宋体" w:cs="宋体"/>
                <w:color w:val="000000"/>
                <w:sz w:val="20"/>
                <w:szCs w:val="20"/>
              </w:rPr>
              <w:t>满意</w:t>
            </w:r>
          </w:p>
        </w:tc>
      </w:tr>
    </w:tbl>
    <w:p>
      <w:pPr>
        <w:spacing w:line="600" w:lineRule="exact"/>
        <w:ind w:firstLine="800" w:firstLineChars="250"/>
        <w:outlineLvl w:val="1"/>
        <w:rPr>
          <w:rStyle w:val="28"/>
          <w:rFonts w:ascii="黑体" w:hAnsi="黑体" w:eastAsia="黑体"/>
        </w:rPr>
      </w:pPr>
      <w:bookmarkStart w:id="65" w:name="_Toc15396612"/>
      <w:bookmarkStart w:id="66" w:name="_Toc15377221"/>
      <w:bookmarkStart w:id="67" w:name="_Toc20734"/>
      <w:r>
        <w:rPr>
          <w:rFonts w:hint="eastAsia" w:ascii="黑体" w:hAnsi="黑体" w:eastAsia="黑体"/>
          <w:color w:val="000000"/>
          <w:sz w:val="32"/>
          <w:szCs w:val="32"/>
        </w:rPr>
        <w:t>十</w:t>
      </w:r>
      <w:r>
        <w:rPr>
          <w:rStyle w:val="28"/>
          <w:rFonts w:hint="eastAsia" w:ascii="黑体" w:hAnsi="黑体" w:eastAsia="黑体"/>
        </w:rPr>
        <w:t>一、</w:t>
      </w:r>
      <w:r>
        <w:rPr>
          <w:rStyle w:val="28"/>
          <w:rFonts w:hint="eastAsia" w:ascii="黑体" w:hAnsi="黑体" w:eastAsia="黑体"/>
          <w:b w:val="0"/>
        </w:rPr>
        <w:t>其他重要事项的情况说明</w:t>
      </w:r>
      <w:bookmarkEnd w:id="65"/>
      <w:bookmarkEnd w:id="66"/>
      <w:bookmarkEnd w:id="67"/>
    </w:p>
    <w:p>
      <w:pPr>
        <w:spacing w:line="600" w:lineRule="exact"/>
        <w:ind w:firstLine="643" w:firstLineChars="200"/>
        <w:rPr>
          <w:rFonts w:ascii="楷体_GB2312" w:hAnsi="楷体_GB2312" w:eastAsia="楷体_GB2312" w:cs="楷体_GB2312"/>
          <w:color w:val="000000"/>
          <w:sz w:val="32"/>
          <w:szCs w:val="32"/>
        </w:rPr>
      </w:pPr>
      <w:bookmarkStart w:id="68" w:name="_Toc15377222"/>
      <w:r>
        <w:rPr>
          <w:rFonts w:hint="eastAsia" w:ascii="楷体_GB2312" w:hAnsi="楷体_GB2312" w:eastAsia="楷体_GB2312" w:cs="楷体_GB2312"/>
          <w:b/>
          <w:color w:val="000000"/>
          <w:sz w:val="32"/>
          <w:szCs w:val="32"/>
        </w:rPr>
        <w:t>（一）机关运行经费支出情况</w:t>
      </w:r>
    </w:p>
    <w:p>
      <w:pPr>
        <w:spacing w:line="600" w:lineRule="exact"/>
        <w:ind w:firstLine="640"/>
        <w:rPr>
          <w:rFonts w:ascii="仿宋_GB2312" w:eastAsia="仿宋_GB2312"/>
          <w:sz w:val="32"/>
          <w:szCs w:val="32"/>
        </w:rPr>
      </w:pPr>
      <w:r>
        <w:rPr>
          <w:rFonts w:hint="eastAsia" w:ascii="仿宋_GB2312" w:eastAsia="仿宋_GB2312"/>
          <w:sz w:val="32"/>
          <w:szCs w:val="32"/>
        </w:rPr>
        <w:t>2018年度，检察院机关运行经费支出76.99万元，比2017年增加14.7万元，增长23%。主要原因为人员增加。</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w:t>
      </w:r>
    </w:p>
    <w:p>
      <w:pPr>
        <w:spacing w:line="600" w:lineRule="exact"/>
        <w:ind w:firstLine="643" w:firstLineChars="200"/>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（二）政府采购支出情况</w:t>
      </w:r>
    </w:p>
    <w:p>
      <w:pPr>
        <w:spacing w:line="600" w:lineRule="exact"/>
        <w:ind w:firstLine="640" w:firstLineChars="200"/>
        <w:rPr>
          <w:rFonts w:ascii="仿宋_GB2312" w:eastAsia="仿宋_GB2312"/>
          <w:spacing w:val="-6"/>
          <w:sz w:val="32"/>
          <w:szCs w:val="32"/>
        </w:rPr>
      </w:pPr>
      <w:r>
        <w:rPr>
          <w:rFonts w:hint="eastAsia" w:ascii="仿宋_GB2312" w:eastAsia="仿宋_GB2312"/>
          <w:sz w:val="32"/>
          <w:szCs w:val="32"/>
        </w:rPr>
        <w:t>2018年度，</w:t>
      </w:r>
      <w:r>
        <w:rPr>
          <w:rFonts w:hint="eastAsia" w:ascii="仿宋_GB2312" w:eastAsia="仿宋_GB2312"/>
          <w:spacing w:val="-6"/>
          <w:sz w:val="32"/>
          <w:szCs w:val="32"/>
        </w:rPr>
        <w:t>检察院政府采购支出总额17.78万元，其中：政府采购货物支出17.78万元、政府采购工程支出0万元、政府采购服务支出0万元。主要用于检察信息网络建设及检察装备购置。</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CS06</w:t>
      </w:r>
      <w:r>
        <w:rPr>
          <w:rFonts w:hint="eastAsia" w:ascii="仿宋" w:hAnsi="仿宋" w:eastAsia="仿宋"/>
          <w:b/>
          <w:color w:val="000000"/>
          <w:sz w:val="32"/>
          <w:szCs w:val="32"/>
        </w:rPr>
        <w:t>表）</w:t>
      </w:r>
    </w:p>
    <w:p>
      <w:pPr>
        <w:spacing w:line="600" w:lineRule="exact"/>
        <w:ind w:firstLine="643" w:firstLineChars="200"/>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（三）国有资产占有使用情况</w:t>
      </w:r>
    </w:p>
    <w:p>
      <w:pPr>
        <w:shd w:val="clear" w:color="auto" w:fill="FFFEFB"/>
        <w:spacing w:line="600" w:lineRule="exact"/>
        <w:ind w:firstLine="630"/>
        <w:jc w:val="left"/>
        <w:rPr>
          <w:rFonts w:ascii="仿宋" w:hAnsi="仿宋" w:eastAsia="仿宋" w:cs="宋体"/>
          <w:kern w:val="0"/>
          <w:sz w:val="32"/>
          <w:szCs w:val="32"/>
        </w:rPr>
      </w:pPr>
      <w:r>
        <w:rPr>
          <w:rFonts w:hint="eastAsia" w:ascii="仿宋_GB2312" w:eastAsia="仿宋_GB2312"/>
          <w:sz w:val="32"/>
          <w:szCs w:val="32"/>
        </w:rPr>
        <w:t>截至2018年12月31日，检察院公有车辆8辆，</w:t>
      </w:r>
      <w:r>
        <w:rPr>
          <w:rFonts w:hint="eastAsia" w:ascii="仿宋" w:hAnsi="仿宋" w:eastAsia="仿宋" w:cs="宋体"/>
          <w:kern w:val="0"/>
          <w:sz w:val="32"/>
          <w:szCs w:val="32"/>
        </w:rPr>
        <w:t>均为一般执法执勤用车；</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万元以上通用设备0台（套），单价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万元以上专用设备0台（套）。</w:t>
      </w:r>
    </w:p>
    <w:p>
      <w:pPr>
        <w:autoSpaceDE w:val="0"/>
        <w:autoSpaceDN w:val="0"/>
        <w:adjustRightInd w:val="0"/>
        <w:spacing w:line="600" w:lineRule="exact"/>
        <w:ind w:firstLine="643" w:firstLineChars="200"/>
        <w:jc w:val="left"/>
        <w:outlineLvl w:val="2"/>
        <w:rPr>
          <w:rFonts w:ascii="仿宋_GB2312" w:eastAsia="仿宋_GB2312"/>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w:t>
      </w:r>
    </w:p>
    <w:p>
      <w:pPr>
        <w:shd w:val="clear" w:color="auto" w:fill="FFFEFB"/>
        <w:spacing w:line="600" w:lineRule="exact"/>
        <w:ind w:firstLine="630"/>
        <w:jc w:val="left"/>
        <w:rPr>
          <w:rFonts w:ascii="仿宋" w:hAnsi="仿宋" w:eastAsia="仿宋" w:cs="宋体"/>
          <w:kern w:val="0"/>
          <w:sz w:val="32"/>
          <w:szCs w:val="32"/>
        </w:rPr>
      </w:pPr>
    </w:p>
    <w:bookmarkEnd w:id="68"/>
    <w:p>
      <w:pPr>
        <w:numPr>
          <w:ilvl w:val="0"/>
          <w:numId w:val="2"/>
        </w:numPr>
        <w:spacing w:line="600" w:lineRule="exact"/>
        <w:ind w:firstLine="660" w:firstLineChars="150"/>
        <w:jc w:val="center"/>
        <w:outlineLvl w:val="0"/>
        <w:rPr>
          <w:rStyle w:val="27"/>
          <w:rFonts w:ascii="黑体" w:hAnsi="黑体" w:eastAsia="黑体"/>
          <w:b w:val="0"/>
        </w:rPr>
      </w:pPr>
      <w:bookmarkStart w:id="69" w:name="_Toc19812"/>
      <w:bookmarkStart w:id="70" w:name="_Toc15396613"/>
      <w:bookmarkStart w:id="71" w:name="_Toc15377225"/>
      <w:r>
        <w:rPr>
          <w:rStyle w:val="27"/>
          <w:rFonts w:hint="eastAsia" w:ascii="黑体" w:hAnsi="黑体" w:eastAsia="黑体"/>
          <w:b w:val="0"/>
        </w:rPr>
        <w:t>名词解释</w:t>
      </w:r>
      <w:bookmarkEnd w:id="69"/>
    </w:p>
    <w:bookmarkEnd w:id="70"/>
    <w:bookmarkEnd w:id="71"/>
    <w:p>
      <w:pPr>
        <w:spacing w:line="600" w:lineRule="exact"/>
        <w:jc w:val="left"/>
        <w:rPr>
          <w:rFonts w:ascii="宋体"/>
          <w:b/>
          <w:color w:val="000000"/>
          <w:sz w:val="44"/>
          <w:szCs w:val="44"/>
        </w:rPr>
      </w:pPr>
    </w:p>
    <w:p>
      <w:pPr>
        <w:pStyle w:val="25"/>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1.财政拨款收入：指省级财政当年拨付的资金。 </w:t>
      </w:r>
    </w:p>
    <w:p>
      <w:pPr>
        <w:pStyle w:val="25"/>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2.其他收入：指除上述“财政拨款收入”、“事业收入”、“经营收入”等以外的收入。主要是…（收入类型）等。 </w:t>
      </w:r>
    </w:p>
    <w:p>
      <w:pPr>
        <w:spacing w:line="600" w:lineRule="exact"/>
        <w:ind w:firstLine="640" w:firstLineChars="200"/>
        <w:rPr>
          <w:rFonts w:ascii="仿宋_GB2312" w:eastAsia="仿宋_GB2312"/>
          <w:color w:val="000000"/>
          <w:sz w:val="32"/>
          <w:szCs w:val="32"/>
        </w:rPr>
      </w:pPr>
      <w:r>
        <w:rPr>
          <w:rFonts w:hint="eastAsia" w:ascii="仿宋_GB2312" w:eastAsia="仿宋_GB2312"/>
          <w:sz w:val="32"/>
          <w:szCs w:val="32"/>
        </w:rPr>
        <w:t>3</w:t>
      </w:r>
      <w:r>
        <w:rPr>
          <w:rFonts w:hint="eastAsia" w:ascii="仿宋_GB2312" w:eastAsia="仿宋_GB2312"/>
          <w:color w:val="000000"/>
          <w:sz w:val="32"/>
          <w:szCs w:val="32"/>
        </w:rPr>
        <w:t>.基本支出：指为保障机构正常运转、完成日常工作任务而发生的人员支出和公用支出。</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4.项目支出：指在基本支出之外为完成特定行政任务和事业发展目标所发生的支出。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5</w:t>
      </w:r>
      <w:r>
        <w:rPr>
          <w:rFonts w:ascii="仿宋_GB2312" w:eastAsia="仿宋_GB2312"/>
          <w:color w:val="000000"/>
          <w:sz w:val="32"/>
          <w:szCs w:val="32"/>
        </w:rPr>
        <w:t>.</w:t>
      </w:r>
      <w:r>
        <w:rPr>
          <w:rFonts w:hint="eastAsia" w:ascii="仿宋_GB2312" w:eastAsia="仿宋_GB2312"/>
          <w:color w:val="000000"/>
          <w:sz w:val="32"/>
          <w:szCs w:val="32"/>
        </w:rPr>
        <w:t>一般公共服务2040501行政运行：指用于职工工资、办公费等维持日常工作开展的开支。</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6.社会保障和就业2080505机关事业单位基本养老保险缴费支出：指本单位职工应缴纳的基本养老保险缴费支出。2080506机关事业单位职业年金缴费支出：指本单位职工应缴纳的职业年金缴费支出。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7.医疗卫生和计划生育2100501行政单位医疗：指本单位职工应缴纳的机关医疗保险支出。</w:t>
      </w:r>
    </w:p>
    <w:p>
      <w:pPr>
        <w:ind w:firstLine="640" w:firstLineChars="200"/>
        <w:rPr>
          <w:rFonts w:ascii="仿宋_GB2312" w:eastAsia="仿宋_GB2312"/>
          <w:b/>
          <w:i/>
          <w:color w:val="404040"/>
          <w:sz w:val="32"/>
          <w:szCs w:val="32"/>
        </w:rPr>
      </w:pPr>
      <w:r>
        <w:rPr>
          <w:rFonts w:hint="eastAsia" w:ascii="仿宋_GB2312" w:eastAsia="仿宋_GB2312"/>
          <w:color w:val="000000"/>
          <w:sz w:val="32"/>
          <w:szCs w:val="32"/>
        </w:rPr>
        <w:t>8.住房保障支出2210201住房公积金：指本单位应缴纳的住房公积金。</w:t>
      </w:r>
    </w:p>
    <w:p>
      <w:pPr>
        <w:pStyle w:val="25"/>
        <w:spacing w:line="600" w:lineRule="exact"/>
        <w:ind w:firstLine="640" w:firstLineChars="200"/>
        <w:rPr>
          <w:rFonts w:ascii="仿宋_GB2312" w:eastAsia="仿宋_GB2312"/>
          <w:sz w:val="32"/>
          <w:szCs w:val="32"/>
        </w:rPr>
      </w:pPr>
      <w:r>
        <w:rPr>
          <w:rFonts w:hint="eastAsia" w:ascii="仿宋_GB2312" w:eastAsia="仿宋_GB2312"/>
          <w:sz w:val="32"/>
          <w:szCs w:val="32"/>
        </w:rPr>
        <w:t>9.“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25"/>
        <w:spacing w:line="600" w:lineRule="exact"/>
        <w:ind w:firstLine="640" w:firstLineChars="200"/>
        <w:rPr>
          <w:rFonts w:ascii="仿宋_GB2312" w:eastAsia="仿宋_GB2312"/>
          <w:sz w:val="32"/>
          <w:szCs w:val="32"/>
        </w:rPr>
      </w:pPr>
      <w:r>
        <w:rPr>
          <w:rFonts w:hint="eastAsia" w:ascii="仿宋_GB2312" w:eastAsia="仿宋_GB2312"/>
          <w:sz w:val="32"/>
          <w:szCs w:val="32"/>
        </w:rPr>
        <w:t>10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7"/>
          <w:rFonts w:ascii="黑体" w:hAnsi="黑体" w:eastAsia="黑体"/>
          <w:b w:val="0"/>
        </w:rPr>
      </w:pPr>
      <w:bookmarkStart w:id="72" w:name="_Toc15396614"/>
      <w:bookmarkStart w:id="73" w:name="_Toc2605"/>
      <w:bookmarkStart w:id="74" w:name="_Toc15377226"/>
      <w:r>
        <w:rPr>
          <w:rFonts w:hint="eastAsia" w:ascii="黑体" w:hAnsi="黑体" w:eastAsia="黑体"/>
          <w:color w:val="000000"/>
          <w:sz w:val="44"/>
          <w:szCs w:val="44"/>
        </w:rPr>
        <w:t>第</w:t>
      </w:r>
      <w:r>
        <w:rPr>
          <w:rStyle w:val="27"/>
          <w:rFonts w:hint="eastAsia" w:ascii="黑体" w:hAnsi="黑体" w:eastAsia="黑体"/>
          <w:b w:val="0"/>
        </w:rPr>
        <w:t>四部分 附件</w:t>
      </w:r>
      <w:bookmarkEnd w:id="72"/>
      <w:bookmarkEnd w:id="73"/>
    </w:p>
    <w:p>
      <w:pPr>
        <w:spacing w:line="600" w:lineRule="exact"/>
        <w:jc w:val="center"/>
        <w:outlineLvl w:val="0"/>
        <w:rPr>
          <w:rStyle w:val="27"/>
        </w:rPr>
      </w:pPr>
    </w:p>
    <w:p>
      <w:pPr>
        <w:spacing w:line="600" w:lineRule="exact"/>
        <w:jc w:val="center"/>
        <w:outlineLvl w:val="0"/>
        <w:rPr>
          <w:rFonts w:ascii="黑体" w:hAnsi="黑体" w:eastAsia="黑体" w:cs="方正小标宋简体"/>
          <w:sz w:val="36"/>
          <w:szCs w:val="36"/>
        </w:rPr>
      </w:pPr>
      <w:bookmarkStart w:id="75" w:name="_Toc5713"/>
      <w:bookmarkStart w:id="76" w:name="_Toc15396616"/>
      <w:r>
        <w:rPr>
          <w:rFonts w:hint="eastAsia" w:ascii="黑体" w:hAnsi="黑体" w:eastAsia="黑体" w:cs="方正小标宋简体"/>
          <w:sz w:val="36"/>
          <w:szCs w:val="36"/>
        </w:rPr>
        <w:t>汶川县人民检察院2018年整体支出绩效评价报告</w:t>
      </w:r>
      <w:bookmarkEnd w:id="75"/>
      <w:bookmarkEnd w:id="76"/>
    </w:p>
    <w:p>
      <w:pPr>
        <w:spacing w:line="600" w:lineRule="exact"/>
        <w:ind w:firstLine="640" w:firstLineChars="200"/>
        <w:rPr>
          <w:rFonts w:ascii="黑体" w:hAnsi="黑体" w:eastAsia="黑体" w:cs="黑体"/>
          <w:sz w:val="32"/>
          <w:szCs w:val="32"/>
        </w:rPr>
      </w:pP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（一）机构组成。</w:t>
      </w:r>
      <w:r>
        <w:rPr>
          <w:rFonts w:hint="eastAsia" w:ascii="仿宋_GB2312" w:hAnsi="仿宋_GB2312" w:eastAsia="仿宋_GB2312" w:cs="仿宋_GB2312"/>
          <w:color w:val="000000"/>
          <w:kern w:val="0"/>
          <w:sz w:val="32"/>
          <w:szCs w:val="32"/>
        </w:rPr>
        <w:t>汶川县人民检察院目前设有16个内设机构，包括1个驻所检察室和2个派驻检察室。</w:t>
      </w:r>
    </w:p>
    <w:p>
      <w:pPr>
        <w:pStyle w:val="7"/>
        <w:adjustRightInd w:val="0"/>
        <w:snapToGrid w:val="0"/>
        <w:spacing w:before="93" w:line="600" w:lineRule="exact"/>
        <w:ind w:firstLine="643" w:firstLineChars="200"/>
        <w:rPr>
          <w:rFonts w:hAnsi="仿宋_GB2312" w:cs="仿宋_GB2312"/>
          <w:sz w:val="32"/>
          <w:szCs w:val="32"/>
        </w:rPr>
      </w:pPr>
      <w:r>
        <w:rPr>
          <w:rFonts w:hint="eastAsia" w:ascii="楷体_GB2312" w:hAnsi="楷体_GB2312" w:eastAsia="楷体_GB2312" w:cs="楷体_GB2312"/>
          <w:b/>
          <w:bCs/>
          <w:sz w:val="32"/>
          <w:szCs w:val="32"/>
        </w:rPr>
        <w:t>（二）机构职能。</w:t>
      </w:r>
      <w:r>
        <w:rPr>
          <w:rFonts w:hint="eastAsia" w:hAnsi="仿宋_GB2312" w:cs="仿宋_GB2312"/>
          <w:sz w:val="32"/>
          <w:szCs w:val="32"/>
        </w:rPr>
        <w:t>汶川县人民检察院是国家法律监督机关，负责辖区各项检察工作，接受阿坝州人民检察院和汶川县党委的领导，对汶川县人民代表大会及其常委会负责并报告工作，接受其监督，执行其决议。根据县委、县政府关于2018年全县工作的总体部署，2018年主要工作是：</w:t>
      </w:r>
      <w:r>
        <w:rPr>
          <w:rFonts w:hint="eastAsia" w:hAnsi="仿宋_GB2312" w:cs="仿宋_GB2312"/>
          <w:sz w:val="32"/>
          <w:szCs w:val="32"/>
        </w:rPr>
        <w:br w:type="textWrapping"/>
      </w:r>
      <w:r>
        <w:rPr>
          <w:rFonts w:hint="eastAsia" w:hAnsi="仿宋_GB2312" w:cs="仿宋_GB2312"/>
          <w:sz w:val="32"/>
          <w:szCs w:val="32"/>
        </w:rPr>
        <w:t>　　1.制定辖区检察工作计划，落实检察工作任务。</w:t>
      </w:r>
      <w:r>
        <w:rPr>
          <w:rFonts w:hint="eastAsia" w:hAnsi="仿宋_GB2312" w:cs="仿宋_GB2312"/>
          <w:sz w:val="32"/>
          <w:szCs w:val="32"/>
        </w:rPr>
        <w:br w:type="textWrapping"/>
      </w:r>
      <w:r>
        <w:rPr>
          <w:rFonts w:hint="eastAsia" w:hAnsi="仿宋_GB2312" w:cs="仿宋_GB2312"/>
          <w:sz w:val="32"/>
          <w:szCs w:val="32"/>
        </w:rPr>
        <w:t>　　2.依法对公安机关和检察机关直接受理的犯罪案件进行审查批准逮捕、决定逮捕、提起公诉、出庭支持公诉。</w:t>
      </w:r>
      <w:r>
        <w:rPr>
          <w:rFonts w:hint="eastAsia" w:hAnsi="仿宋_GB2312" w:cs="仿宋_GB2312"/>
          <w:sz w:val="32"/>
          <w:szCs w:val="32"/>
        </w:rPr>
        <w:br w:type="textWrapping"/>
      </w:r>
      <w:r>
        <w:rPr>
          <w:rFonts w:hint="eastAsia" w:hAnsi="仿宋_GB2312" w:cs="仿宋_GB2312"/>
          <w:sz w:val="32"/>
          <w:szCs w:val="32"/>
        </w:rPr>
        <w:t>　　3.依法对刑事诉讼、民事审判和行政诉讼实行法律监督。</w:t>
      </w:r>
      <w:r>
        <w:rPr>
          <w:rFonts w:hint="eastAsia" w:hAnsi="仿宋_GB2312" w:cs="仿宋_GB2312"/>
          <w:sz w:val="32"/>
          <w:szCs w:val="32"/>
        </w:rPr>
        <w:br w:type="textWrapping"/>
      </w:r>
      <w:r>
        <w:rPr>
          <w:rFonts w:hint="eastAsia" w:hAnsi="仿宋_GB2312" w:cs="仿宋_GB2312"/>
          <w:sz w:val="32"/>
          <w:szCs w:val="32"/>
        </w:rPr>
        <w:t>　　4.依法对执行机关执行刑罚的活动是否合法实行监督。</w:t>
      </w:r>
      <w:r>
        <w:rPr>
          <w:rFonts w:hint="eastAsia" w:hAnsi="仿宋_GB2312" w:cs="仿宋_GB2312"/>
          <w:sz w:val="32"/>
          <w:szCs w:val="32"/>
        </w:rPr>
        <w:br w:type="textWrapping"/>
      </w:r>
      <w:r>
        <w:rPr>
          <w:rFonts w:hint="eastAsia" w:hAnsi="仿宋_GB2312" w:cs="仿宋_GB2312"/>
          <w:sz w:val="32"/>
          <w:szCs w:val="32"/>
        </w:rPr>
        <w:t>　　5.受理单位和个人的报案和控告、申诉及犯罪嫌疑人的自首。</w:t>
      </w:r>
      <w:r>
        <w:rPr>
          <w:rFonts w:hint="eastAsia" w:hAnsi="仿宋_GB2312" w:cs="仿宋_GB2312"/>
          <w:sz w:val="32"/>
          <w:szCs w:val="32"/>
        </w:rPr>
        <w:br w:type="textWrapping"/>
      </w:r>
      <w:r>
        <w:rPr>
          <w:rFonts w:hint="eastAsia" w:hAnsi="仿宋_GB2312" w:cs="仿宋_GB2312"/>
          <w:sz w:val="32"/>
          <w:szCs w:val="32"/>
        </w:rPr>
        <w:t xml:space="preserve">　　6.负责本院队伍建设和思想政治工作，协助县委有关部门对本院的领导班子成员的管理和考核。　 </w:t>
      </w:r>
      <w:r>
        <w:rPr>
          <w:rFonts w:hint="eastAsia" w:hAnsi="仿宋_GB2312" w:cs="仿宋_GB2312"/>
          <w:sz w:val="32"/>
          <w:szCs w:val="32"/>
        </w:rPr>
        <w:br w:type="textWrapping"/>
      </w:r>
      <w:r>
        <w:rPr>
          <w:rFonts w:hint="eastAsia" w:hAnsi="仿宋_GB2312" w:cs="仿宋_GB2312"/>
          <w:sz w:val="32"/>
          <w:szCs w:val="32"/>
        </w:rPr>
        <w:t>　　7.承办其他应由本院负责的事项。</w:t>
      </w:r>
    </w:p>
    <w:p>
      <w:pPr>
        <w:spacing w:line="600" w:lineRule="exact"/>
        <w:ind w:firstLine="643" w:firstLineChars="200"/>
        <w:rPr>
          <w:rFonts w:ascii="仿宋_GB2312" w:hAnsi="仿宋_GB2312" w:eastAsia="仿宋_GB2312" w:cs="仿宋_GB2312"/>
          <w:kern w:val="0"/>
          <w:sz w:val="32"/>
          <w:szCs w:val="32"/>
        </w:rPr>
      </w:pPr>
      <w:r>
        <w:rPr>
          <w:rFonts w:hint="eastAsia" w:ascii="楷体_GB2312" w:hAnsi="楷体_GB2312" w:eastAsia="楷体_GB2312" w:cs="楷体_GB2312"/>
          <w:b/>
          <w:bCs/>
          <w:sz w:val="32"/>
          <w:szCs w:val="32"/>
        </w:rPr>
        <w:t>（三）人员概况。</w:t>
      </w:r>
      <w:r>
        <w:rPr>
          <w:rFonts w:hint="eastAsia" w:ascii="仿宋_GB2312" w:hAnsi="仿宋_GB2312" w:eastAsia="仿宋_GB2312" w:cs="仿宋_GB2312"/>
          <w:kern w:val="0"/>
          <w:sz w:val="32"/>
          <w:szCs w:val="32"/>
        </w:rPr>
        <w:t>我院属于行政机关单位，核编政法专项编制30名，工勤编制2名，实有人数38人（政法编制34人，工勤编制4人）。</w:t>
      </w:r>
    </w:p>
    <w:p>
      <w:pPr>
        <w:spacing w:line="60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pStyle w:val="7"/>
        <w:adjustRightInd w:val="0"/>
        <w:snapToGrid w:val="0"/>
        <w:spacing w:before="93" w:line="600" w:lineRule="exact"/>
        <w:ind w:firstLine="643" w:firstLineChars="200"/>
        <w:rPr>
          <w:rFonts w:hAnsi="仿宋_GB2312" w:cs="仿宋_GB2312"/>
          <w:sz w:val="32"/>
          <w:szCs w:val="32"/>
        </w:rPr>
      </w:pPr>
      <w:r>
        <w:rPr>
          <w:rFonts w:hint="eastAsia" w:ascii="楷体_GB2312" w:hAnsi="楷体_GB2312" w:eastAsia="楷体_GB2312" w:cs="楷体_GB2312"/>
          <w:b/>
          <w:bCs/>
          <w:sz w:val="32"/>
          <w:szCs w:val="32"/>
        </w:rPr>
        <w:t>（一）部门财政资金收入情况。</w:t>
      </w:r>
      <w:r>
        <w:rPr>
          <w:rFonts w:hint="eastAsia" w:hAnsi="仿宋_GB2312" w:cs="仿宋_GB2312"/>
          <w:sz w:val="32"/>
          <w:szCs w:val="32"/>
        </w:rPr>
        <w:t>2018年本年财政拨款收入1029.22万元，其中：行政运行649.39万元，一般行政管理事务231万元，行政单位医疗27.01万元，住房公积金53.43万元，机关事业单位基本养老保险48.84万元，机关事业单位职业年金缴费19.55万元。</w:t>
      </w:r>
    </w:p>
    <w:p>
      <w:pPr>
        <w:pStyle w:val="7"/>
        <w:adjustRightInd w:val="0"/>
        <w:snapToGrid w:val="0"/>
        <w:spacing w:before="93" w:line="600" w:lineRule="exact"/>
        <w:ind w:firstLine="643" w:firstLineChars="200"/>
        <w:rPr>
          <w:rFonts w:hAnsi="仿宋_GB2312" w:cs="仿宋_GB2312"/>
          <w:sz w:val="32"/>
          <w:szCs w:val="32"/>
        </w:rPr>
      </w:pPr>
      <w:r>
        <w:rPr>
          <w:rFonts w:hint="eastAsia" w:ascii="楷体_GB2312" w:hAnsi="楷体_GB2312" w:eastAsia="楷体_GB2312" w:cs="楷体_GB2312"/>
          <w:b/>
          <w:bCs/>
          <w:sz w:val="32"/>
          <w:szCs w:val="32"/>
        </w:rPr>
        <w:t>（二）部门财政资金支出情况。</w:t>
      </w:r>
      <w:r>
        <w:rPr>
          <w:rFonts w:hint="eastAsia" w:hAnsi="仿宋_GB2312" w:cs="仿宋_GB2312"/>
          <w:sz w:val="32"/>
          <w:szCs w:val="32"/>
        </w:rPr>
        <w:t>2018年全年支出905.43万元，其中: 行政运行639.02万元，一般行政管理事务117.58万元，行政单位医疗27.01万元，住房公积金53.43万元，机关事业单位基本养老保险48.84万元，机关事业单位职业年金缴费  19.55万元。</w:t>
      </w:r>
    </w:p>
    <w:p>
      <w:pPr>
        <w:pStyle w:val="7"/>
        <w:adjustRightInd w:val="0"/>
        <w:snapToGrid w:val="0"/>
        <w:spacing w:before="93" w:line="600" w:lineRule="exact"/>
        <w:ind w:firstLine="640" w:firstLineChars="200"/>
        <w:rPr>
          <w:rFonts w:hAnsi="仿宋_GB2312" w:cs="仿宋_GB2312"/>
          <w:sz w:val="32"/>
          <w:szCs w:val="32"/>
        </w:rPr>
      </w:pPr>
      <w:r>
        <w:rPr>
          <w:rFonts w:hint="eastAsia" w:hAnsi="仿宋_GB2312" w:cs="仿宋_GB2312"/>
          <w:sz w:val="32"/>
          <w:szCs w:val="32"/>
        </w:rPr>
        <w:t>2018年年末累计结转和结余资金246.78万元，其中基本支出结转10.8元，项目支出结转和结余235.98万元。</w:t>
      </w:r>
    </w:p>
    <w:p>
      <w:pPr>
        <w:spacing w:line="60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w:t>
      </w:r>
    </w:p>
    <w:p>
      <w:pPr>
        <w:spacing w:line="600" w:lineRule="exact"/>
        <w:ind w:firstLine="643" w:firstLineChars="200"/>
        <w:rPr>
          <w:rFonts w:ascii="仿宋" w:hAnsi="仿宋" w:eastAsia="仿宋" w:cs="仿宋_GB2312"/>
          <w:sz w:val="32"/>
          <w:szCs w:val="32"/>
        </w:rPr>
      </w:pPr>
      <w:r>
        <w:rPr>
          <w:rFonts w:hint="eastAsia" w:ascii="楷体_GB2312" w:hAnsi="楷体_GB2312" w:eastAsia="楷体_GB2312" w:cs="楷体_GB2312"/>
          <w:b/>
          <w:bCs/>
          <w:sz w:val="32"/>
          <w:szCs w:val="32"/>
        </w:rPr>
        <w:t>（一）部门预算管理。</w:t>
      </w:r>
    </w:p>
    <w:p>
      <w:pPr>
        <w:pStyle w:val="7"/>
        <w:adjustRightInd w:val="0"/>
        <w:snapToGrid w:val="0"/>
        <w:spacing w:before="93" w:line="600" w:lineRule="exact"/>
        <w:ind w:firstLine="643" w:firstLineChars="200"/>
        <w:rPr>
          <w:rFonts w:hAnsi="仿宋_GB2312" w:cs="仿宋_GB2312"/>
          <w:sz w:val="32"/>
          <w:szCs w:val="32"/>
        </w:rPr>
      </w:pPr>
      <w:r>
        <w:rPr>
          <w:rFonts w:hint="eastAsia" w:ascii="楷体_GB2312" w:hAnsi="楷体_GB2312" w:eastAsia="楷体_GB2312" w:cs="楷体_GB2312"/>
          <w:b/>
          <w:bCs/>
          <w:sz w:val="32"/>
          <w:szCs w:val="32"/>
        </w:rPr>
        <w:t>（一）预决算编制情况。</w:t>
      </w:r>
      <w:r>
        <w:rPr>
          <w:rFonts w:hint="eastAsia" w:hAnsi="仿宋_GB2312" w:cs="仿宋_GB2312"/>
          <w:sz w:val="32"/>
          <w:szCs w:val="32"/>
        </w:rPr>
        <w:t>根据全县部门编制预算口径和要求，确保我院部门机构正常运转、完成日常工作任务以及承担我院行政、检察相关工作，编制2019年预算。基本支出用于保障我院正常运转的日常支出，包括基本工资、津贴补贴等人员经费以及办公费、印刷费、水电费、办公设备购置等日常公用经费。项目支出，是用于保障我院完成特定的检察工作任务，用于专项业务工作的经费支出。</w:t>
      </w:r>
    </w:p>
    <w:p>
      <w:pPr>
        <w:pStyle w:val="7"/>
        <w:adjustRightInd w:val="0"/>
        <w:snapToGrid w:val="0"/>
        <w:spacing w:before="93" w:line="600" w:lineRule="exact"/>
        <w:ind w:firstLine="643" w:firstLineChars="200"/>
        <w:rPr>
          <w:rFonts w:hAnsi="仿宋_GB2312" w:cs="仿宋_GB2312"/>
          <w:sz w:val="32"/>
          <w:szCs w:val="32"/>
        </w:rPr>
      </w:pPr>
      <w:r>
        <w:rPr>
          <w:rFonts w:hint="eastAsia" w:ascii="楷体_GB2312" w:hAnsi="楷体_GB2312" w:eastAsia="楷体_GB2312" w:cs="楷体_GB2312"/>
          <w:b/>
          <w:bCs/>
          <w:sz w:val="32"/>
          <w:szCs w:val="32"/>
        </w:rPr>
        <w:t>（二）执行管理情况。</w:t>
      </w:r>
      <w:r>
        <w:rPr>
          <w:rFonts w:hint="eastAsia" w:hAnsi="仿宋_GB2312" w:cs="仿宋_GB2312"/>
          <w:sz w:val="32"/>
          <w:szCs w:val="32"/>
        </w:rPr>
        <w:t>我院按照预算支出数进行预算数安排支出，财务管理坚持由分管副检察长签字报销原则。重大开支项目，由院党组会议集体研究决定，实行政府采购。经费支出由财务人员审核后签署意见，再报分管副检察长签字报销；实行“办理（具体经办人）、审核（会计）、审签（分管副检察长）、报销（出纳）”四分离的财务管理办法。</w:t>
      </w:r>
    </w:p>
    <w:p>
      <w:pPr>
        <w:pStyle w:val="7"/>
        <w:adjustRightInd w:val="0"/>
        <w:snapToGrid w:val="0"/>
        <w:spacing w:before="93"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（三）支出绩效情况。</w:t>
      </w:r>
    </w:p>
    <w:p>
      <w:pPr>
        <w:pStyle w:val="14"/>
        <w:shd w:val="clear" w:color="auto" w:fill="FFFFFF"/>
        <w:spacing w:before="0" w:beforeAutospacing="0" w:after="0" w:afterAutospacing="0" w:line="600" w:lineRule="exact"/>
        <w:ind w:firstLine="640"/>
        <w:jc w:val="both"/>
        <w:rPr>
          <w:rFonts w:ascii="仿宋_GB2312" w:eastAsia="仿宋_GB2312"/>
          <w:b/>
          <w:bCs/>
          <w:sz w:val="32"/>
          <w:szCs w:val="32"/>
        </w:rPr>
      </w:pPr>
      <w:r>
        <w:rPr>
          <w:rFonts w:hint="eastAsia" w:ascii="仿宋_GB2312" w:eastAsia="仿宋_GB2312"/>
          <w:b/>
          <w:bCs/>
          <w:sz w:val="32"/>
          <w:szCs w:val="32"/>
        </w:rPr>
        <w:t>1.部门支出绩效。</w:t>
      </w:r>
    </w:p>
    <w:p>
      <w:pPr>
        <w:pStyle w:val="7"/>
        <w:adjustRightInd w:val="0"/>
        <w:snapToGrid w:val="0"/>
        <w:spacing w:before="93" w:line="600" w:lineRule="exact"/>
        <w:ind w:firstLine="643" w:firstLineChars="200"/>
        <w:rPr>
          <w:rFonts w:hAnsi="仿宋_GB2312" w:cs="仿宋_GB2312"/>
          <w:sz w:val="32"/>
          <w:szCs w:val="32"/>
        </w:rPr>
      </w:pPr>
      <w:r>
        <w:rPr>
          <w:rFonts w:hint="eastAsia" w:hAnsi="Calibri"/>
          <w:b/>
          <w:bCs/>
          <w:sz w:val="32"/>
          <w:szCs w:val="32"/>
        </w:rPr>
        <w:t>（1）行政运转保障。</w:t>
      </w:r>
      <w:r>
        <w:rPr>
          <w:rFonts w:hint="eastAsia" w:hAnsi="仿宋_GB2312" w:cs="仿宋_GB2312"/>
          <w:sz w:val="32"/>
          <w:szCs w:val="32"/>
        </w:rPr>
        <w:t xml:space="preserve">汶川县人民检察院财政拨款支出主要用于保障我院部门机构正常运转、完成日常工作任务以及承担本部门事业发展相关工作。 </w:t>
      </w:r>
    </w:p>
    <w:p>
      <w:pPr>
        <w:pStyle w:val="14"/>
        <w:shd w:val="clear" w:color="auto" w:fill="FFFFFF"/>
        <w:spacing w:before="0" w:beforeAutospacing="0" w:after="0" w:afterAutospacing="0" w:line="600" w:lineRule="exact"/>
        <w:ind w:firstLine="640"/>
        <w:jc w:val="both"/>
        <w:rPr>
          <w:rFonts w:ascii="仿宋_GB2312" w:hAnsi="宋体" w:eastAsia="仿宋_GB2312"/>
          <w:color w:val="000000"/>
          <w:sz w:val="32"/>
          <w:szCs w:val="32"/>
          <w:shd w:val="clear" w:color="auto" w:fill="FFFFFF"/>
        </w:rPr>
      </w:pPr>
      <w:r>
        <w:rPr>
          <w:rFonts w:hint="eastAsia" w:ascii="仿宋_GB2312" w:eastAsia="仿宋_GB2312"/>
          <w:b/>
          <w:bCs/>
          <w:sz w:val="32"/>
          <w:szCs w:val="32"/>
        </w:rPr>
        <w:t>基本支出：</w:t>
      </w:r>
      <w:r>
        <w:rPr>
          <w:rFonts w:hint="eastAsia" w:ascii="仿宋_GB2312" w:eastAsia="仿宋_GB2312"/>
          <w:sz w:val="32"/>
          <w:szCs w:val="32"/>
        </w:rPr>
        <w:t>1.工资福利支出490.93万元；2.日常公用经费76.99万元；3.对个人和家庭的补助219.93万元。主要用于保障院机关、基层检察室机构正常运转的人员经费支出、日常公用经费支出。主要包括在职人员工资，干警生活</w:t>
      </w:r>
      <w:r>
        <w:rPr>
          <w:rFonts w:hint="eastAsia" w:ascii="仿宋_GB2312" w:hAnsi="宋体" w:eastAsia="仿宋_GB2312"/>
          <w:color w:val="000000"/>
          <w:sz w:val="32"/>
          <w:szCs w:val="32"/>
          <w:shd w:val="clear" w:color="auto" w:fill="FFFFFF"/>
        </w:rPr>
        <w:t>补助等人员经费以及办公费、差旅费、水电费、交通费、通讯费、办公设备购置等日常公用经费支出。</w:t>
      </w:r>
    </w:p>
    <w:p>
      <w:pPr>
        <w:pStyle w:val="33"/>
        <w:widowControl w:val="0"/>
        <w:spacing w:line="600" w:lineRule="exact"/>
        <w:ind w:firstLine="803" w:firstLineChars="250"/>
        <w:rPr>
          <w:rFonts w:ascii="仿宋_GB2312" w:eastAsia="仿宋_GB2312"/>
          <w:sz w:val="32"/>
          <w:szCs w:val="32"/>
        </w:rPr>
      </w:pPr>
      <w:r>
        <w:rPr>
          <w:rFonts w:hint="eastAsia" w:ascii="仿宋_GB2312" w:eastAsia="仿宋_GB2312"/>
          <w:b/>
          <w:sz w:val="32"/>
          <w:szCs w:val="32"/>
          <w:shd w:val="clear" w:color="auto" w:fill="FFFFFF"/>
        </w:rPr>
        <w:t>项目支出：</w:t>
      </w:r>
      <w:r>
        <w:rPr>
          <w:rFonts w:hint="eastAsia" w:ascii="仿宋_GB2312" w:eastAsia="仿宋_GB2312"/>
          <w:sz w:val="32"/>
          <w:szCs w:val="32"/>
          <w:shd w:val="clear" w:color="auto" w:fill="FFFFFF"/>
        </w:rPr>
        <w:t>一般行政管理事务支出117.58万元，用于我院为顺利完成检察工作等专项支出。</w:t>
      </w:r>
    </w:p>
    <w:p>
      <w:pPr>
        <w:pStyle w:val="14"/>
        <w:shd w:val="clear" w:color="auto" w:fill="FFFFFF"/>
        <w:spacing w:before="0" w:beforeAutospacing="0" w:after="0" w:afterAutospacing="0" w:line="600" w:lineRule="exact"/>
        <w:ind w:firstLine="640"/>
        <w:jc w:val="both"/>
        <w:rPr>
          <w:rFonts w:ascii="仿宋_GB2312" w:hAnsi="宋体" w:eastAsia="仿宋_GB2312"/>
          <w:color w:val="000000"/>
          <w:sz w:val="32"/>
          <w:szCs w:val="32"/>
          <w:shd w:val="clear" w:color="auto" w:fill="FFFFFF"/>
        </w:rPr>
      </w:pPr>
      <w:r>
        <w:rPr>
          <w:rFonts w:hint="eastAsia" w:ascii="仿宋_GB2312" w:hAnsi="宋体" w:eastAsia="仿宋_GB2312"/>
          <w:b/>
          <w:bCs/>
          <w:color w:val="000000"/>
          <w:sz w:val="32"/>
          <w:szCs w:val="32"/>
          <w:shd w:val="clear" w:color="auto" w:fill="FFFFFF"/>
        </w:rPr>
        <w:t>（2）机关厉行节约。</w:t>
      </w:r>
      <w:r>
        <w:rPr>
          <w:rFonts w:hint="eastAsia" w:ascii="仿宋_GB2312" w:hAnsi="宋体" w:eastAsia="仿宋_GB2312"/>
          <w:color w:val="000000"/>
          <w:sz w:val="32"/>
          <w:szCs w:val="32"/>
          <w:shd w:val="clear" w:color="auto" w:fill="FFFFFF"/>
        </w:rPr>
        <w:t>2018年我院“三公”经费，实际决算支出18.20万元，较上年“三公”经费相比，比上年总计减少4.86万元，无机关因公出国（境）费用。</w:t>
      </w:r>
    </w:p>
    <w:p>
      <w:pPr>
        <w:pStyle w:val="14"/>
        <w:shd w:val="clear" w:color="auto" w:fill="FFFFFF"/>
        <w:spacing w:before="0" w:beforeAutospacing="0" w:after="0" w:afterAutospacing="0" w:line="600" w:lineRule="exact"/>
        <w:ind w:firstLine="640"/>
        <w:jc w:val="both"/>
        <w:rPr>
          <w:rFonts w:ascii="仿宋_GB2312" w:hAnsi="宋体" w:eastAsia="仿宋_GB2312"/>
          <w:color w:val="000000"/>
          <w:sz w:val="32"/>
          <w:szCs w:val="32"/>
          <w:shd w:val="clear" w:color="auto" w:fill="FFFFFF"/>
        </w:rPr>
      </w:pPr>
      <w:r>
        <w:rPr>
          <w:rFonts w:hint="eastAsia" w:ascii="仿宋_GB2312" w:hAnsi="宋体" w:eastAsia="仿宋_GB2312"/>
          <w:b/>
          <w:bCs/>
          <w:color w:val="000000"/>
          <w:sz w:val="32"/>
          <w:szCs w:val="32"/>
          <w:shd w:val="clear" w:color="auto" w:fill="FFFFFF"/>
        </w:rPr>
        <w:t>（3）机关节能降耗。</w:t>
      </w:r>
      <w:r>
        <w:rPr>
          <w:rFonts w:hint="eastAsia" w:ascii="仿宋_GB2312" w:hAnsi="宋体" w:eastAsia="仿宋_GB2312"/>
          <w:color w:val="000000"/>
          <w:sz w:val="32"/>
          <w:szCs w:val="32"/>
          <w:shd w:val="clear" w:color="auto" w:fill="FFFFFF"/>
        </w:rPr>
        <w:t>2018年机关水、电支出5.36万元，较上年水、电支出相比增加0.95万元，增加原因是2018年案件增加，相应费用增加。</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（二）专项预算管理。</w:t>
      </w:r>
    </w:p>
    <w:p>
      <w:pPr>
        <w:pStyle w:val="14"/>
        <w:shd w:val="clear" w:color="auto" w:fill="FFFFFF"/>
        <w:spacing w:before="0" w:beforeAutospacing="0" w:after="0" w:afterAutospacing="0" w:line="600" w:lineRule="exact"/>
        <w:ind w:firstLine="640"/>
        <w:jc w:val="both"/>
        <w:rPr>
          <w:rFonts w:ascii="仿宋_GB2312" w:hAnsi="宋体" w:eastAsia="仿宋_GB2312"/>
          <w:color w:val="000000"/>
          <w:sz w:val="32"/>
          <w:szCs w:val="32"/>
          <w:shd w:val="clear" w:color="auto" w:fill="FFFFFF"/>
        </w:rPr>
      </w:pPr>
      <w:r>
        <w:rPr>
          <w:rFonts w:hint="eastAsia" w:ascii="仿宋_GB2312" w:hAnsi="宋体" w:eastAsia="仿宋_GB2312"/>
          <w:b/>
          <w:bCs/>
          <w:color w:val="000000"/>
          <w:sz w:val="32"/>
          <w:szCs w:val="32"/>
          <w:shd w:val="clear" w:color="auto" w:fill="FFFFFF"/>
        </w:rPr>
        <w:t>（1）资金绩效分配情况。</w:t>
      </w:r>
      <w:r>
        <w:rPr>
          <w:rFonts w:hint="eastAsia" w:ascii="仿宋_GB2312" w:hAnsi="宋体" w:eastAsia="仿宋_GB2312"/>
          <w:color w:val="000000"/>
          <w:sz w:val="32"/>
          <w:szCs w:val="32"/>
          <w:shd w:val="clear" w:color="auto" w:fill="FFFFFF"/>
        </w:rPr>
        <w:t>项目申报严格按照上级要求，明确绩效目标，控制支行成本，提高项目发挥作用。司法救助金用于救助经济确有困难的当事人，按照相关规定进行司法求助。</w:t>
      </w:r>
    </w:p>
    <w:p>
      <w:pPr>
        <w:pStyle w:val="14"/>
        <w:shd w:val="clear" w:color="auto" w:fill="FFFFFF"/>
        <w:spacing w:before="0" w:beforeAutospacing="0" w:after="0" w:afterAutospacing="0" w:line="600" w:lineRule="exact"/>
        <w:ind w:firstLine="640"/>
        <w:jc w:val="both"/>
        <w:rPr>
          <w:rFonts w:ascii="仿宋_GB2312" w:hAnsi="宋体" w:eastAsia="仿宋_GB2312"/>
          <w:color w:val="000000"/>
          <w:sz w:val="32"/>
          <w:szCs w:val="32"/>
          <w:shd w:val="clear" w:color="auto" w:fill="FFFFFF"/>
        </w:rPr>
      </w:pPr>
      <w:r>
        <w:rPr>
          <w:rFonts w:hint="eastAsia" w:ascii="仿宋_GB2312" w:hAnsi="宋体" w:eastAsia="仿宋_GB2312"/>
          <w:b/>
          <w:bCs/>
          <w:color w:val="000000"/>
          <w:sz w:val="32"/>
          <w:szCs w:val="32"/>
          <w:shd w:val="clear" w:color="auto" w:fill="FFFFFF"/>
        </w:rPr>
        <w:t>（2）项目资金管理情况。</w:t>
      </w:r>
      <w:r>
        <w:rPr>
          <w:rFonts w:hint="eastAsia" w:ascii="仿宋_GB2312" w:hAnsi="宋体" w:eastAsia="仿宋_GB2312"/>
          <w:color w:val="000000"/>
          <w:sz w:val="32"/>
          <w:szCs w:val="32"/>
          <w:shd w:val="clear" w:color="auto" w:fill="FFFFFF"/>
        </w:rPr>
        <w:t>项目资金日常支出严格按照用款计划、用款标准，并制度项目资金管理办法、中长期规划等制度建设等。</w:t>
      </w:r>
    </w:p>
    <w:p>
      <w:pPr>
        <w:pStyle w:val="14"/>
        <w:shd w:val="clear" w:color="auto" w:fill="FFFFFF"/>
        <w:spacing w:before="0" w:beforeAutospacing="0" w:after="0" w:afterAutospacing="0" w:line="600" w:lineRule="exact"/>
        <w:ind w:firstLine="640"/>
        <w:jc w:val="both"/>
        <w:rPr>
          <w:rFonts w:ascii="仿宋_GB2312" w:hAnsi="宋体" w:eastAsia="仿宋_GB2312"/>
          <w:color w:val="000000"/>
          <w:sz w:val="32"/>
          <w:szCs w:val="32"/>
          <w:shd w:val="clear" w:color="auto" w:fill="FFFFFF"/>
        </w:rPr>
      </w:pPr>
      <w:r>
        <w:rPr>
          <w:rFonts w:hint="eastAsia" w:ascii="仿宋_GB2312" w:hAnsi="宋体" w:eastAsia="仿宋_GB2312"/>
          <w:b/>
          <w:bCs/>
          <w:color w:val="000000"/>
          <w:sz w:val="32"/>
          <w:szCs w:val="32"/>
          <w:shd w:val="clear" w:color="auto" w:fill="FFFFFF"/>
        </w:rPr>
        <w:t>（3）绩效目标完成情况。</w:t>
      </w:r>
      <w:r>
        <w:rPr>
          <w:rFonts w:hint="eastAsia" w:ascii="仿宋_GB2312" w:hAnsi="宋体" w:eastAsia="仿宋_GB2312"/>
          <w:color w:val="000000"/>
          <w:sz w:val="32"/>
          <w:szCs w:val="32"/>
          <w:shd w:val="clear" w:color="auto" w:fill="FFFFFF"/>
        </w:rPr>
        <w:t>项目实施完成后使本县经济更稳定、社会更和谐，各方面达到预期经济、社会目标。</w:t>
      </w:r>
    </w:p>
    <w:p>
      <w:pPr>
        <w:spacing w:line="60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pStyle w:val="14"/>
        <w:shd w:val="clear" w:color="auto" w:fill="FFFFFF"/>
        <w:spacing w:before="0" w:beforeAutospacing="0" w:after="0" w:afterAutospacing="0" w:line="600" w:lineRule="exact"/>
        <w:ind w:firstLine="720"/>
        <w:rPr>
          <w:rFonts w:ascii="仿宋_GB2312" w:hAnsi="宋体" w:eastAsia="仿宋_GB2312"/>
          <w:color w:val="000000"/>
          <w:sz w:val="21"/>
          <w:szCs w:val="21"/>
        </w:rPr>
      </w:pPr>
      <w:r>
        <w:rPr>
          <w:rFonts w:hint="eastAsia" w:ascii="楷体_GB2312" w:hAnsi="宋体" w:eastAsia="楷体_GB2312" w:cs="宋体"/>
          <w:b/>
          <w:color w:val="000000"/>
          <w:sz w:val="32"/>
          <w:szCs w:val="32"/>
          <w:shd w:val="clear" w:color="auto" w:fill="FFFFFF"/>
        </w:rPr>
        <w:t>（一）评价结论。</w:t>
      </w:r>
      <w:r>
        <w:rPr>
          <w:rFonts w:hint="eastAsia" w:ascii="仿宋_GB2312" w:hAnsi="宋体" w:eastAsia="仿宋_GB2312"/>
          <w:color w:val="000000"/>
          <w:sz w:val="32"/>
          <w:szCs w:val="32"/>
          <w:shd w:val="clear" w:color="auto" w:fill="FFFFFF"/>
        </w:rPr>
        <w:t>县检察院部门预算执行情况良好，无不良记录及违规违纪行为，预算支出和决算支出情况相符。</w:t>
      </w:r>
    </w:p>
    <w:p>
      <w:pPr>
        <w:pStyle w:val="14"/>
        <w:shd w:val="clear" w:color="auto" w:fill="FFFFFF"/>
        <w:spacing w:before="0" w:beforeAutospacing="0" w:after="0" w:afterAutospacing="0" w:line="600" w:lineRule="exact"/>
        <w:ind w:firstLine="643" w:firstLineChars="200"/>
        <w:rPr>
          <w:rFonts w:ascii="仿宋_GB2312" w:hAnsi="宋体" w:eastAsia="仿宋_GB2312"/>
          <w:sz w:val="32"/>
          <w:szCs w:val="32"/>
        </w:rPr>
      </w:pPr>
      <w:r>
        <w:rPr>
          <w:rFonts w:hint="eastAsia" w:ascii="楷体_GB2312" w:hAnsi="宋体" w:eastAsia="楷体_GB2312" w:cs="宋体"/>
          <w:b/>
          <w:color w:val="000000"/>
          <w:sz w:val="32"/>
          <w:szCs w:val="32"/>
          <w:shd w:val="clear" w:color="auto" w:fill="FFFFFF"/>
        </w:rPr>
        <w:t>(二）存在问题。</w:t>
      </w:r>
      <w:r>
        <w:rPr>
          <w:rFonts w:hint="eastAsia" w:ascii="仿宋_GB2312" w:hAnsi="宋体" w:eastAsia="仿宋_GB2312"/>
          <w:sz w:val="32"/>
          <w:szCs w:val="32"/>
        </w:rPr>
        <w:t>项目资金的使用未严格按照全年工作计划和步骤支出，前期支出进度缓慢。</w:t>
      </w:r>
    </w:p>
    <w:p>
      <w:pPr>
        <w:pStyle w:val="14"/>
        <w:shd w:val="clear" w:color="auto" w:fill="FFFFFF"/>
        <w:spacing w:before="0" w:beforeAutospacing="0" w:after="0" w:afterAutospacing="0" w:line="600" w:lineRule="exact"/>
        <w:ind w:firstLine="643" w:firstLineChars="200"/>
        <w:rPr>
          <w:rFonts w:ascii="楷体_GB2312" w:hAnsi="宋体" w:eastAsia="楷体_GB2312" w:cs="宋体"/>
          <w:b/>
          <w:color w:val="000000"/>
          <w:sz w:val="32"/>
          <w:szCs w:val="32"/>
          <w:shd w:val="clear" w:color="auto" w:fill="FFFFFF"/>
        </w:rPr>
      </w:pPr>
      <w:r>
        <w:rPr>
          <w:rFonts w:hint="eastAsia" w:ascii="楷体_GB2312" w:hAnsi="宋体" w:eastAsia="楷体_GB2312" w:cs="宋体"/>
          <w:b/>
          <w:color w:val="000000"/>
          <w:sz w:val="32"/>
          <w:szCs w:val="32"/>
          <w:shd w:val="clear" w:color="auto" w:fill="FFFFFF"/>
        </w:rPr>
        <w:t xml:space="preserve">（三）改进建议。 </w:t>
      </w:r>
    </w:p>
    <w:p>
      <w:pPr>
        <w:pStyle w:val="14"/>
        <w:shd w:val="clear" w:color="auto" w:fill="FFFFFF"/>
        <w:spacing w:before="0" w:beforeAutospacing="0" w:after="0" w:afterAutospacing="0"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1.制定合理的年度工作计划和年度经费支出预算，确保全年经费支出均衡。对经费使用情况及时统计，并将统计情况反馈至各科室，对不合理的支出及时进行调整，提高经费使用效益。</w:t>
      </w:r>
    </w:p>
    <w:p>
      <w:pPr>
        <w:pStyle w:val="14"/>
        <w:spacing w:before="150" w:beforeAutospacing="0" w:after="150" w:afterAutospacing="0" w:line="600" w:lineRule="exact"/>
        <w:ind w:firstLine="800" w:firstLineChars="250"/>
        <w:rPr>
          <w:rFonts w:ascii="仿宋_GB2312" w:hAnsi="宋体" w:eastAsia="仿宋_GB2312"/>
          <w:sz w:val="32"/>
          <w:szCs w:val="32"/>
        </w:rPr>
      </w:pPr>
      <w:r>
        <w:rPr>
          <w:rFonts w:hint="eastAsia" w:ascii="仿宋_GB2312" w:hAnsi="宋体" w:eastAsia="仿宋_GB2312"/>
          <w:sz w:val="32"/>
          <w:szCs w:val="32"/>
        </w:rPr>
        <w:t>2.建立和完善内部控制建设，形成系统的内部财务管理制度。加强对专项资金的管理，按工作要求加快专项资金使用进度，切实发挥资金效益。</w:t>
      </w:r>
    </w:p>
    <w:p>
      <w:pPr>
        <w:spacing w:line="600" w:lineRule="exact"/>
        <w:jc w:val="center"/>
        <w:rPr>
          <w:rFonts w:hint="eastAsia" w:ascii="黑体" w:hAnsi="黑体" w:eastAsia="黑体"/>
          <w:color w:val="000000"/>
          <w:sz w:val="44"/>
          <w:szCs w:val="44"/>
        </w:rPr>
      </w:pPr>
      <w:bookmarkStart w:id="77" w:name="_Toc15396618"/>
      <w:bookmarkStart w:id="78" w:name="_Toc24860"/>
    </w:p>
    <w:p>
      <w:pPr>
        <w:spacing w:line="600" w:lineRule="exact"/>
        <w:jc w:val="center"/>
        <w:rPr>
          <w:rFonts w:hint="eastAsia" w:ascii="黑体" w:hAnsi="黑体" w:eastAsia="黑体"/>
          <w:color w:val="000000"/>
          <w:sz w:val="44"/>
          <w:szCs w:val="44"/>
        </w:rPr>
      </w:pPr>
    </w:p>
    <w:p>
      <w:pPr>
        <w:spacing w:line="600" w:lineRule="exact"/>
        <w:jc w:val="center"/>
        <w:rPr>
          <w:rFonts w:hint="eastAsia" w:ascii="黑体" w:hAnsi="黑体" w:eastAsia="黑体"/>
          <w:color w:val="000000"/>
          <w:sz w:val="44"/>
          <w:szCs w:val="44"/>
        </w:rPr>
      </w:pPr>
    </w:p>
    <w:p>
      <w:pPr>
        <w:spacing w:line="600" w:lineRule="exact"/>
        <w:jc w:val="center"/>
        <w:rPr>
          <w:rFonts w:hint="eastAsia" w:ascii="黑体" w:hAnsi="黑体" w:eastAsia="黑体"/>
          <w:color w:val="000000"/>
          <w:sz w:val="44"/>
          <w:szCs w:val="44"/>
        </w:rPr>
      </w:pPr>
    </w:p>
    <w:p>
      <w:pPr>
        <w:spacing w:line="600" w:lineRule="exact"/>
        <w:jc w:val="center"/>
        <w:rPr>
          <w:rFonts w:hint="eastAsia" w:ascii="黑体" w:hAnsi="黑体" w:eastAsia="黑体"/>
          <w:color w:val="000000"/>
          <w:sz w:val="44"/>
          <w:szCs w:val="44"/>
        </w:rPr>
      </w:pPr>
    </w:p>
    <w:p>
      <w:pPr>
        <w:spacing w:line="600" w:lineRule="exact"/>
        <w:jc w:val="center"/>
        <w:rPr>
          <w:rFonts w:hint="eastAsia" w:ascii="黑体" w:hAnsi="黑体" w:eastAsia="黑体"/>
          <w:color w:val="000000"/>
          <w:sz w:val="44"/>
          <w:szCs w:val="44"/>
        </w:rPr>
      </w:pPr>
    </w:p>
    <w:p>
      <w:pPr>
        <w:spacing w:line="600" w:lineRule="exact"/>
        <w:jc w:val="center"/>
        <w:rPr>
          <w:rFonts w:hint="eastAsia" w:ascii="黑体" w:hAnsi="黑体" w:eastAsia="黑体"/>
          <w:color w:val="000000"/>
          <w:sz w:val="44"/>
          <w:szCs w:val="44"/>
        </w:rPr>
      </w:pPr>
    </w:p>
    <w:p>
      <w:pPr>
        <w:spacing w:line="600" w:lineRule="exact"/>
        <w:jc w:val="center"/>
        <w:rPr>
          <w:rFonts w:hint="eastAsia" w:ascii="黑体" w:hAnsi="黑体" w:eastAsia="黑体"/>
          <w:color w:val="000000"/>
          <w:sz w:val="44"/>
          <w:szCs w:val="44"/>
        </w:rPr>
      </w:pPr>
    </w:p>
    <w:p>
      <w:pPr>
        <w:spacing w:line="600" w:lineRule="exact"/>
        <w:jc w:val="center"/>
        <w:rPr>
          <w:rFonts w:hint="eastAsia" w:ascii="黑体" w:hAnsi="黑体" w:eastAsia="黑体"/>
          <w:color w:val="000000"/>
          <w:sz w:val="44"/>
          <w:szCs w:val="44"/>
        </w:rPr>
      </w:pPr>
    </w:p>
    <w:p>
      <w:pPr>
        <w:spacing w:line="600" w:lineRule="exact"/>
        <w:jc w:val="center"/>
        <w:rPr>
          <w:rFonts w:hint="eastAsia" w:ascii="黑体" w:hAnsi="黑体" w:eastAsia="黑体"/>
          <w:color w:val="000000"/>
          <w:sz w:val="44"/>
          <w:szCs w:val="44"/>
        </w:rPr>
      </w:pPr>
    </w:p>
    <w:p>
      <w:pPr>
        <w:spacing w:line="600" w:lineRule="exact"/>
        <w:jc w:val="center"/>
        <w:rPr>
          <w:rStyle w:val="27"/>
          <w:rFonts w:ascii="黑体" w:hAnsi="黑体" w:eastAsia="黑体"/>
          <w:b w:val="0"/>
        </w:rPr>
      </w:pPr>
      <w:r>
        <w:rPr>
          <w:rFonts w:hint="eastAsia" w:ascii="黑体" w:hAnsi="黑体" w:eastAsia="黑体"/>
          <w:color w:val="000000"/>
          <w:sz w:val="44"/>
          <w:szCs w:val="44"/>
        </w:rPr>
        <w:t>第</w:t>
      </w:r>
      <w:r>
        <w:rPr>
          <w:rStyle w:val="27"/>
          <w:rFonts w:hint="eastAsia" w:ascii="黑体" w:hAnsi="黑体" w:eastAsia="黑体"/>
          <w:b w:val="0"/>
        </w:rPr>
        <w:t>五部分 附表</w:t>
      </w:r>
      <w:bookmarkEnd w:id="74"/>
      <w:bookmarkEnd w:id="77"/>
      <w:bookmarkEnd w:id="78"/>
    </w:p>
    <w:p>
      <w:pPr>
        <w:spacing w:line="600" w:lineRule="exact"/>
        <w:jc w:val="center"/>
        <w:outlineLvl w:val="0"/>
        <w:rPr>
          <w:rStyle w:val="27"/>
          <w:rFonts w:ascii="黑体" w:hAnsi="黑体" w:eastAsia="黑体"/>
          <w:b w:val="0"/>
        </w:rPr>
      </w:pPr>
    </w:p>
    <w:p>
      <w:pPr>
        <w:pStyle w:val="5"/>
        <w:spacing w:line="600" w:lineRule="exact"/>
        <w:rPr>
          <w:rFonts w:ascii="仿宋_GB2312" w:hAnsi="仿宋_GB2312" w:eastAsia="仿宋_GB2312" w:cs="仿宋_GB2312"/>
          <w:color w:val="000000"/>
        </w:rPr>
      </w:pPr>
      <w:bookmarkStart w:id="79" w:name="_Toc20231"/>
      <w:bookmarkStart w:id="80" w:name="_Toc15396619"/>
      <w:r>
        <w:rPr>
          <w:rFonts w:hint="eastAsia" w:ascii="仿宋_GB2312" w:hAnsi="仿宋_GB2312" w:eastAsia="仿宋_GB2312" w:cs="仿宋_GB2312"/>
          <w:b w:val="0"/>
          <w:color w:val="000000"/>
        </w:rPr>
        <w:t>一、收</w:t>
      </w:r>
      <w:r>
        <w:rPr>
          <w:rStyle w:val="28"/>
          <w:rFonts w:hint="eastAsia" w:ascii="仿宋_GB2312" w:hAnsi="仿宋_GB2312" w:eastAsia="仿宋_GB2312" w:cs="仿宋_GB2312"/>
          <w:b w:val="0"/>
          <w:bCs w:val="0"/>
        </w:rPr>
        <w:t>入支出决算总表</w:t>
      </w:r>
      <w:bookmarkEnd w:id="79"/>
      <w:bookmarkEnd w:id="80"/>
    </w:p>
    <w:p>
      <w:pPr>
        <w:pStyle w:val="5"/>
        <w:spacing w:line="600" w:lineRule="exact"/>
        <w:rPr>
          <w:rFonts w:ascii="仿宋_GB2312" w:hAnsi="仿宋_GB2312" w:eastAsia="仿宋_GB2312" w:cs="仿宋_GB2312"/>
          <w:color w:val="000000"/>
        </w:rPr>
      </w:pPr>
      <w:bookmarkStart w:id="81" w:name="_Toc1680"/>
      <w:bookmarkStart w:id="82" w:name="_Toc15396620"/>
      <w:r>
        <w:rPr>
          <w:rFonts w:hint="eastAsia" w:ascii="仿宋_GB2312" w:hAnsi="仿宋_GB2312" w:eastAsia="仿宋_GB2312" w:cs="仿宋_GB2312"/>
          <w:b w:val="0"/>
          <w:color w:val="000000"/>
        </w:rPr>
        <w:t>二、收</w:t>
      </w:r>
      <w:r>
        <w:rPr>
          <w:rStyle w:val="28"/>
          <w:rFonts w:hint="eastAsia" w:ascii="仿宋_GB2312" w:hAnsi="仿宋_GB2312" w:eastAsia="仿宋_GB2312" w:cs="仿宋_GB2312"/>
          <w:b w:val="0"/>
          <w:bCs w:val="0"/>
        </w:rPr>
        <w:t>入总表</w:t>
      </w:r>
      <w:bookmarkEnd w:id="81"/>
      <w:bookmarkEnd w:id="82"/>
    </w:p>
    <w:p>
      <w:pPr>
        <w:pStyle w:val="5"/>
        <w:spacing w:line="600" w:lineRule="exact"/>
        <w:rPr>
          <w:rFonts w:ascii="仿宋_GB2312" w:hAnsi="仿宋_GB2312" w:eastAsia="仿宋_GB2312" w:cs="仿宋_GB2312"/>
          <w:color w:val="000000"/>
        </w:rPr>
      </w:pPr>
      <w:bookmarkStart w:id="83" w:name="_Toc22411"/>
      <w:bookmarkStart w:id="84" w:name="_Toc15396621"/>
      <w:r>
        <w:rPr>
          <w:rStyle w:val="28"/>
          <w:rFonts w:hint="eastAsia" w:ascii="仿宋_GB2312" w:hAnsi="仿宋_GB2312" w:eastAsia="仿宋_GB2312" w:cs="仿宋_GB2312"/>
          <w:b w:val="0"/>
          <w:bCs w:val="0"/>
        </w:rPr>
        <w:t>三、</w:t>
      </w:r>
      <w:r>
        <w:rPr>
          <w:rFonts w:hint="eastAsia" w:ascii="仿宋_GB2312" w:hAnsi="仿宋_GB2312" w:eastAsia="仿宋_GB2312" w:cs="仿宋_GB2312"/>
          <w:b w:val="0"/>
          <w:color w:val="000000"/>
        </w:rPr>
        <w:t>支</w:t>
      </w:r>
      <w:r>
        <w:rPr>
          <w:rStyle w:val="28"/>
          <w:rFonts w:hint="eastAsia" w:ascii="仿宋_GB2312" w:hAnsi="仿宋_GB2312" w:eastAsia="仿宋_GB2312" w:cs="仿宋_GB2312"/>
          <w:b w:val="0"/>
          <w:bCs w:val="0"/>
        </w:rPr>
        <w:t>出总表</w:t>
      </w:r>
      <w:bookmarkEnd w:id="83"/>
      <w:bookmarkEnd w:id="84"/>
    </w:p>
    <w:p>
      <w:pPr>
        <w:pStyle w:val="5"/>
        <w:spacing w:line="600" w:lineRule="exact"/>
        <w:rPr>
          <w:rFonts w:ascii="仿宋_GB2312" w:hAnsi="仿宋_GB2312" w:eastAsia="仿宋_GB2312" w:cs="仿宋_GB2312"/>
          <w:b w:val="0"/>
          <w:color w:val="000000"/>
        </w:rPr>
      </w:pPr>
      <w:bookmarkStart w:id="85" w:name="_Toc15396622"/>
      <w:bookmarkStart w:id="86" w:name="_Toc19333"/>
      <w:r>
        <w:rPr>
          <w:rStyle w:val="28"/>
          <w:rFonts w:hint="eastAsia" w:ascii="仿宋_GB2312" w:hAnsi="仿宋_GB2312" w:eastAsia="仿宋_GB2312" w:cs="仿宋_GB2312"/>
          <w:b w:val="0"/>
          <w:bCs w:val="0"/>
        </w:rPr>
        <w:t>四、</w:t>
      </w:r>
      <w:r>
        <w:rPr>
          <w:rFonts w:hint="eastAsia" w:ascii="仿宋_GB2312" w:hAnsi="仿宋_GB2312" w:eastAsia="仿宋_GB2312" w:cs="仿宋_GB2312"/>
          <w:b w:val="0"/>
          <w:color w:val="000000"/>
        </w:rPr>
        <w:t>财</w:t>
      </w:r>
      <w:r>
        <w:rPr>
          <w:rStyle w:val="28"/>
          <w:rFonts w:hint="eastAsia" w:ascii="仿宋_GB2312" w:hAnsi="仿宋_GB2312" w:eastAsia="仿宋_GB2312" w:cs="仿宋_GB2312"/>
          <w:b w:val="0"/>
          <w:bCs w:val="0"/>
        </w:rPr>
        <w:t>政拨款收入支出决算总表</w:t>
      </w:r>
      <w:bookmarkEnd w:id="85"/>
      <w:bookmarkEnd w:id="86"/>
    </w:p>
    <w:p>
      <w:pPr>
        <w:pStyle w:val="5"/>
        <w:spacing w:line="600" w:lineRule="exact"/>
        <w:rPr>
          <w:rFonts w:ascii="仿宋_GB2312" w:hAnsi="仿宋_GB2312" w:eastAsia="仿宋_GB2312" w:cs="仿宋_GB2312"/>
          <w:color w:val="000000"/>
        </w:rPr>
      </w:pPr>
      <w:bookmarkStart w:id="87" w:name="_Toc4556"/>
      <w:bookmarkStart w:id="88" w:name="_Toc15396623"/>
      <w:r>
        <w:rPr>
          <w:rStyle w:val="28"/>
          <w:rFonts w:hint="eastAsia" w:ascii="仿宋_GB2312" w:hAnsi="仿宋_GB2312" w:eastAsia="仿宋_GB2312" w:cs="仿宋_GB2312"/>
          <w:b w:val="0"/>
          <w:bCs w:val="0"/>
        </w:rPr>
        <w:t>五、</w:t>
      </w:r>
      <w:r>
        <w:rPr>
          <w:rFonts w:hint="eastAsia" w:ascii="仿宋_GB2312" w:hAnsi="仿宋_GB2312" w:eastAsia="仿宋_GB2312" w:cs="仿宋_GB2312"/>
          <w:b w:val="0"/>
          <w:color w:val="000000"/>
        </w:rPr>
        <w:t>财</w:t>
      </w:r>
      <w:r>
        <w:rPr>
          <w:rStyle w:val="28"/>
          <w:rFonts w:hint="eastAsia" w:ascii="仿宋_GB2312" w:hAnsi="仿宋_GB2312" w:eastAsia="仿宋_GB2312" w:cs="仿宋_GB2312"/>
          <w:b w:val="0"/>
          <w:bCs w:val="0"/>
        </w:rPr>
        <w:t>政拨款支出决算明细表（政府经济分类科目）</w:t>
      </w:r>
      <w:bookmarkEnd w:id="87"/>
      <w:bookmarkEnd w:id="88"/>
    </w:p>
    <w:p>
      <w:pPr>
        <w:pStyle w:val="5"/>
        <w:spacing w:line="600" w:lineRule="exact"/>
        <w:rPr>
          <w:rFonts w:ascii="仿宋_GB2312" w:hAnsi="仿宋_GB2312" w:eastAsia="仿宋_GB2312" w:cs="仿宋_GB2312"/>
          <w:color w:val="000000"/>
        </w:rPr>
      </w:pPr>
      <w:bookmarkStart w:id="89" w:name="_Toc15396624"/>
      <w:bookmarkStart w:id="90" w:name="_Toc5000"/>
      <w:r>
        <w:rPr>
          <w:rStyle w:val="28"/>
          <w:rFonts w:hint="eastAsia" w:ascii="仿宋_GB2312" w:hAnsi="仿宋_GB2312" w:eastAsia="仿宋_GB2312" w:cs="仿宋_GB2312"/>
          <w:b w:val="0"/>
          <w:bCs w:val="0"/>
        </w:rPr>
        <w:t>六、</w:t>
      </w:r>
      <w:r>
        <w:rPr>
          <w:rFonts w:hint="eastAsia" w:ascii="仿宋_GB2312" w:hAnsi="仿宋_GB2312" w:eastAsia="仿宋_GB2312" w:cs="仿宋_GB2312"/>
          <w:b w:val="0"/>
          <w:color w:val="000000"/>
        </w:rPr>
        <w:t>一</w:t>
      </w:r>
      <w:r>
        <w:rPr>
          <w:rStyle w:val="28"/>
          <w:rFonts w:hint="eastAsia" w:ascii="仿宋_GB2312" w:hAnsi="仿宋_GB2312" w:eastAsia="仿宋_GB2312" w:cs="仿宋_GB2312"/>
          <w:b w:val="0"/>
          <w:bCs w:val="0"/>
        </w:rPr>
        <w:t>般公共预算财政拨款支出决算表</w:t>
      </w:r>
      <w:bookmarkEnd w:id="89"/>
      <w:bookmarkEnd w:id="90"/>
    </w:p>
    <w:p>
      <w:pPr>
        <w:pStyle w:val="5"/>
        <w:spacing w:line="600" w:lineRule="exact"/>
        <w:rPr>
          <w:rFonts w:ascii="仿宋_GB2312" w:hAnsi="仿宋_GB2312" w:eastAsia="仿宋_GB2312" w:cs="仿宋_GB2312"/>
          <w:color w:val="000000"/>
        </w:rPr>
      </w:pPr>
      <w:bookmarkStart w:id="91" w:name="_Toc15396625"/>
      <w:bookmarkStart w:id="92" w:name="_Toc7952"/>
      <w:r>
        <w:rPr>
          <w:rStyle w:val="28"/>
          <w:rFonts w:hint="eastAsia" w:ascii="仿宋_GB2312" w:hAnsi="仿宋_GB2312" w:eastAsia="仿宋_GB2312" w:cs="仿宋_GB2312"/>
          <w:b w:val="0"/>
          <w:bCs w:val="0"/>
        </w:rPr>
        <w:t>七、</w:t>
      </w:r>
      <w:r>
        <w:rPr>
          <w:rFonts w:hint="eastAsia" w:ascii="仿宋_GB2312" w:hAnsi="仿宋_GB2312" w:eastAsia="仿宋_GB2312" w:cs="仿宋_GB2312"/>
          <w:b w:val="0"/>
          <w:color w:val="000000"/>
        </w:rPr>
        <w:t>一</w:t>
      </w:r>
      <w:r>
        <w:rPr>
          <w:rStyle w:val="28"/>
          <w:rFonts w:hint="eastAsia" w:ascii="仿宋_GB2312" w:hAnsi="仿宋_GB2312" w:eastAsia="仿宋_GB2312" w:cs="仿宋_GB2312"/>
          <w:b w:val="0"/>
          <w:bCs w:val="0"/>
        </w:rPr>
        <w:t>般公共预算财政拨款支出决算明细表</w:t>
      </w:r>
      <w:bookmarkEnd w:id="91"/>
      <w:bookmarkEnd w:id="92"/>
    </w:p>
    <w:p>
      <w:pPr>
        <w:pStyle w:val="5"/>
        <w:spacing w:line="600" w:lineRule="exact"/>
        <w:rPr>
          <w:rFonts w:hint="eastAsia" w:ascii="仿宋_GB2312" w:hAnsi="仿宋_GB2312" w:eastAsia="仿宋_GB2312" w:cs="仿宋_GB2312"/>
          <w:color w:val="000000"/>
        </w:rPr>
      </w:pPr>
      <w:bookmarkStart w:id="93" w:name="_Toc24303"/>
      <w:bookmarkStart w:id="94" w:name="_Toc15396626"/>
      <w:r>
        <w:rPr>
          <w:rStyle w:val="28"/>
          <w:rFonts w:hint="eastAsia" w:ascii="仿宋_GB2312" w:hAnsi="仿宋_GB2312" w:eastAsia="仿宋_GB2312" w:cs="仿宋_GB2312"/>
          <w:b w:val="0"/>
          <w:bCs w:val="0"/>
        </w:rPr>
        <w:t>八、</w:t>
      </w:r>
      <w:r>
        <w:rPr>
          <w:rFonts w:hint="eastAsia" w:ascii="仿宋_GB2312" w:hAnsi="仿宋_GB2312" w:eastAsia="仿宋_GB2312" w:cs="仿宋_GB2312"/>
          <w:b w:val="0"/>
          <w:color w:val="000000"/>
        </w:rPr>
        <w:t>一</w:t>
      </w:r>
      <w:r>
        <w:rPr>
          <w:rStyle w:val="28"/>
          <w:rFonts w:hint="eastAsia" w:ascii="仿宋_GB2312" w:hAnsi="仿宋_GB2312" w:eastAsia="仿宋_GB2312" w:cs="仿宋_GB2312"/>
          <w:b w:val="0"/>
          <w:bCs w:val="0"/>
        </w:rPr>
        <w:t>般公共预算财政拨款基本支出决算表</w:t>
      </w:r>
      <w:bookmarkEnd w:id="93"/>
      <w:bookmarkEnd w:id="94"/>
      <w:bookmarkStart w:id="95" w:name="_Toc15396627"/>
      <w:bookmarkStart w:id="96" w:name="_Toc31196"/>
    </w:p>
    <w:p>
      <w:pPr>
        <w:pStyle w:val="5"/>
        <w:spacing w:line="600" w:lineRule="exact"/>
        <w:rPr>
          <w:rFonts w:ascii="仿宋_GB2312" w:hAnsi="仿宋_GB2312" w:eastAsia="仿宋_GB2312" w:cs="仿宋_GB2312"/>
          <w:color w:val="000000"/>
        </w:rPr>
      </w:pPr>
      <w:r>
        <w:rPr>
          <w:rStyle w:val="28"/>
          <w:rFonts w:hint="eastAsia" w:ascii="仿宋_GB2312" w:hAnsi="仿宋_GB2312" w:eastAsia="仿宋_GB2312" w:cs="仿宋_GB2312"/>
          <w:b w:val="0"/>
          <w:bCs w:val="0"/>
        </w:rPr>
        <w:t>九、</w:t>
      </w:r>
      <w:r>
        <w:rPr>
          <w:rFonts w:hint="eastAsia" w:ascii="仿宋_GB2312" w:hAnsi="仿宋_GB2312" w:eastAsia="仿宋_GB2312" w:cs="仿宋_GB2312"/>
          <w:b w:val="0"/>
          <w:color w:val="000000"/>
        </w:rPr>
        <w:t>一</w:t>
      </w:r>
      <w:r>
        <w:rPr>
          <w:rStyle w:val="28"/>
          <w:rFonts w:hint="eastAsia" w:ascii="仿宋_GB2312" w:hAnsi="仿宋_GB2312" w:eastAsia="仿宋_GB2312" w:cs="仿宋_GB2312"/>
          <w:b w:val="0"/>
          <w:bCs w:val="0"/>
        </w:rPr>
        <w:t>般公共预算财政拨款项目支出决算表</w:t>
      </w:r>
      <w:bookmarkEnd w:id="95"/>
      <w:bookmarkEnd w:id="96"/>
    </w:p>
    <w:p>
      <w:pPr>
        <w:pStyle w:val="5"/>
        <w:spacing w:line="600" w:lineRule="exact"/>
        <w:rPr>
          <w:rFonts w:ascii="仿宋_GB2312" w:hAnsi="仿宋_GB2312" w:eastAsia="仿宋_GB2312" w:cs="仿宋_GB2312"/>
          <w:color w:val="000000"/>
        </w:rPr>
      </w:pPr>
      <w:bookmarkStart w:id="97" w:name="_Toc15396628"/>
      <w:bookmarkStart w:id="98" w:name="_Toc21418"/>
      <w:r>
        <w:rPr>
          <w:rStyle w:val="28"/>
          <w:rFonts w:hint="eastAsia" w:ascii="仿宋_GB2312" w:hAnsi="仿宋_GB2312" w:eastAsia="仿宋_GB2312" w:cs="仿宋_GB2312"/>
          <w:b w:val="0"/>
          <w:bCs w:val="0"/>
        </w:rPr>
        <w:t>十、</w:t>
      </w:r>
      <w:r>
        <w:rPr>
          <w:rFonts w:hint="eastAsia" w:ascii="仿宋_GB2312" w:hAnsi="仿宋_GB2312" w:eastAsia="仿宋_GB2312" w:cs="仿宋_GB2312"/>
          <w:b w:val="0"/>
          <w:color w:val="000000"/>
        </w:rPr>
        <w:t>一</w:t>
      </w:r>
      <w:r>
        <w:rPr>
          <w:rStyle w:val="28"/>
          <w:rFonts w:hint="eastAsia" w:ascii="仿宋_GB2312" w:hAnsi="仿宋_GB2312" w:eastAsia="仿宋_GB2312" w:cs="仿宋_GB2312"/>
          <w:b w:val="0"/>
          <w:bCs w:val="0"/>
        </w:rPr>
        <w:t>般公共预算财政拨款“三公”经费支出决算表</w:t>
      </w:r>
      <w:bookmarkEnd w:id="97"/>
      <w:bookmarkEnd w:id="98"/>
    </w:p>
    <w:p>
      <w:pPr>
        <w:pStyle w:val="5"/>
        <w:spacing w:line="600" w:lineRule="exact"/>
        <w:rPr>
          <w:rFonts w:ascii="仿宋_GB2312" w:hAnsi="仿宋_GB2312" w:eastAsia="仿宋_GB2312" w:cs="仿宋_GB2312"/>
          <w:color w:val="000000"/>
        </w:rPr>
      </w:pPr>
      <w:bookmarkStart w:id="99" w:name="_Toc22510"/>
      <w:bookmarkStart w:id="100" w:name="_Toc15396629"/>
      <w:r>
        <w:rPr>
          <w:rStyle w:val="28"/>
          <w:rFonts w:hint="eastAsia" w:ascii="仿宋_GB2312" w:hAnsi="仿宋_GB2312" w:eastAsia="仿宋_GB2312" w:cs="仿宋_GB2312"/>
          <w:b w:val="0"/>
          <w:bCs w:val="0"/>
        </w:rPr>
        <w:t>十一、</w:t>
      </w:r>
      <w:r>
        <w:rPr>
          <w:rFonts w:hint="eastAsia" w:ascii="仿宋_GB2312" w:hAnsi="仿宋_GB2312" w:eastAsia="仿宋_GB2312" w:cs="仿宋_GB2312"/>
          <w:b w:val="0"/>
          <w:color w:val="000000"/>
        </w:rPr>
        <w:t>政</w:t>
      </w:r>
      <w:r>
        <w:rPr>
          <w:rStyle w:val="28"/>
          <w:rFonts w:hint="eastAsia" w:ascii="仿宋_GB2312" w:hAnsi="仿宋_GB2312" w:eastAsia="仿宋_GB2312" w:cs="仿宋_GB2312"/>
          <w:b w:val="0"/>
          <w:bCs w:val="0"/>
        </w:rPr>
        <w:t>府性基金预算财政拨款收入支出决算表</w:t>
      </w:r>
      <w:bookmarkEnd w:id="99"/>
      <w:bookmarkEnd w:id="100"/>
    </w:p>
    <w:p>
      <w:pPr>
        <w:pStyle w:val="5"/>
        <w:spacing w:line="600" w:lineRule="exact"/>
        <w:rPr>
          <w:rFonts w:ascii="仿宋_GB2312" w:hAnsi="仿宋_GB2312" w:eastAsia="仿宋_GB2312" w:cs="仿宋_GB2312"/>
          <w:color w:val="000000"/>
        </w:rPr>
      </w:pPr>
      <w:bookmarkStart w:id="101" w:name="_Toc8645"/>
      <w:bookmarkStart w:id="102" w:name="_Toc15396630"/>
      <w:r>
        <w:rPr>
          <w:rStyle w:val="28"/>
          <w:rFonts w:hint="eastAsia" w:ascii="仿宋_GB2312" w:hAnsi="仿宋_GB2312" w:eastAsia="仿宋_GB2312" w:cs="仿宋_GB2312"/>
          <w:b w:val="0"/>
          <w:bCs w:val="0"/>
        </w:rPr>
        <w:t>十二、</w:t>
      </w:r>
      <w:r>
        <w:rPr>
          <w:rFonts w:hint="eastAsia" w:ascii="仿宋_GB2312" w:hAnsi="仿宋_GB2312" w:eastAsia="仿宋_GB2312" w:cs="仿宋_GB2312"/>
          <w:b w:val="0"/>
          <w:color w:val="000000"/>
        </w:rPr>
        <w:t>政</w:t>
      </w:r>
      <w:r>
        <w:rPr>
          <w:rStyle w:val="28"/>
          <w:rFonts w:hint="eastAsia" w:ascii="仿宋_GB2312" w:hAnsi="仿宋_GB2312" w:eastAsia="仿宋_GB2312" w:cs="仿宋_GB2312"/>
          <w:b w:val="0"/>
          <w:bCs w:val="0"/>
        </w:rPr>
        <w:t>府性基金预算财政拨款“三公”经费支出决算表</w:t>
      </w:r>
      <w:bookmarkEnd w:id="101"/>
      <w:bookmarkEnd w:id="102"/>
    </w:p>
    <w:p>
      <w:pPr>
        <w:pStyle w:val="5"/>
        <w:spacing w:line="600" w:lineRule="exact"/>
        <w:rPr>
          <w:rFonts w:ascii="仿宋_GB2312" w:hAnsi="仿宋_GB2312" w:eastAsia="仿宋_GB2312" w:cs="仿宋_GB2312"/>
          <w:color w:val="000000" w:themeColor="text1"/>
        </w:rPr>
      </w:pPr>
      <w:bookmarkStart w:id="103" w:name="_Toc15396631"/>
      <w:bookmarkStart w:id="104" w:name="_Toc23881"/>
      <w:r>
        <w:rPr>
          <w:rStyle w:val="28"/>
          <w:rFonts w:hint="eastAsia" w:ascii="仿宋_GB2312" w:hAnsi="仿宋_GB2312" w:eastAsia="仿宋_GB2312" w:cs="仿宋_GB2312"/>
          <w:b w:val="0"/>
          <w:bCs w:val="0"/>
        </w:rPr>
        <w:t>十三、</w:t>
      </w:r>
      <w:r>
        <w:rPr>
          <w:rFonts w:hint="eastAsia" w:ascii="仿宋_GB2312" w:hAnsi="仿宋_GB2312" w:eastAsia="仿宋_GB2312" w:cs="仿宋_GB2312"/>
          <w:b w:val="0"/>
          <w:color w:val="000000"/>
        </w:rPr>
        <w:t>国</w:t>
      </w:r>
      <w:r>
        <w:rPr>
          <w:rStyle w:val="28"/>
          <w:rFonts w:hint="eastAsia" w:ascii="仿宋_GB2312" w:hAnsi="仿宋_GB2312" w:eastAsia="仿宋_GB2312" w:cs="仿宋_GB2312"/>
          <w:b w:val="0"/>
          <w:bCs w:val="0"/>
        </w:rPr>
        <w:t>有资本经营预算支出决算表</w:t>
      </w:r>
      <w:bookmarkEnd w:id="103"/>
      <w:bookmarkEnd w:id="104"/>
    </w:p>
    <w:sectPr>
      <w:footerReference r:id="rId6" w:type="first"/>
      <w:footerReference r:id="rId5" w:type="default"/>
      <w:pgSz w:w="11906" w:h="16838"/>
      <w:pgMar w:top="2098" w:right="1474" w:bottom="1984" w:left="1587"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jc w:val="center"/>
                          </w:pPr>
                          <w:r>
                            <w:fldChar w:fldCharType="begin"/>
                          </w:r>
                          <w:r>
                            <w:instrText xml:space="preserve">PAGE   \* MERGEFORMAT</w:instrText>
                          </w:r>
                          <w:r>
                            <w:fldChar w:fldCharType="separate"/>
                          </w:r>
                          <w:r>
                            <w:rPr>
                              <w:lang w:val="zh-CN"/>
                            </w:rPr>
                            <w:t>2</w:t>
                          </w:r>
                          <w:r>
                            <w:rPr>
                              <w:lang w:val="zh-CN"/>
                            </w:rPr>
                            <w:fldChar w:fldCharType="end"/>
                          </w:r>
                        </w:p>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10"/>
                      <w:jc w:val="center"/>
                    </w:pPr>
                    <w:r>
                      <w:fldChar w:fldCharType="begin"/>
                    </w:r>
                    <w:r>
                      <w:instrText xml:space="preserve">PAGE   \* MERGEFORMAT</w:instrText>
                    </w:r>
                    <w:r>
                      <w:fldChar w:fldCharType="separate"/>
                    </w:r>
                    <w:r>
                      <w:rPr>
                        <w:lang w:val="zh-CN"/>
                      </w:rPr>
                      <w:t>2</w:t>
                    </w:r>
                    <w:r>
                      <w:rPr>
                        <w:lang w:val="zh-CN"/>
                      </w:rPr>
                      <w:fldChar w:fldCharType="end"/>
                    </w:r>
                  </w:p>
                  <w:p>
                    <w:pPr>
                      <w:pStyle w:val="2"/>
                    </w:pP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994781956"/>
                          </w:sdtPr>
                          <w:sdtContent>
                            <w:p>
                              <w:pPr>
                                <w:pStyle w:val="10"/>
                                <w:jc w:val="cente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2 -</w:t>
                              </w:r>
                              <w:r>
                                <w:rPr>
                                  <w:rFonts w:asciiTheme="majorEastAsia" w:hAnsiTheme="majorEastAsia" w:eastAsiaTheme="majorEastAsia"/>
                                  <w:sz w:val="28"/>
                                  <w:szCs w:val="28"/>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sdt>
                    <w:sdtPr>
                      <w:id w:val="-1994781956"/>
                    </w:sdtPr>
                    <w:sdtContent>
                      <w:p>
                        <w:pPr>
                          <w:pStyle w:val="10"/>
                          <w:jc w:val="cente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2 -</w:t>
                        </w:r>
                        <w:r>
                          <w:rPr>
                            <w:rFonts w:asciiTheme="majorEastAsia" w:hAnsiTheme="majorEastAsia" w:eastAsiaTheme="majorEastAsia"/>
                            <w:sz w:val="28"/>
                            <w:szCs w:val="28"/>
                          </w:rPr>
                          <w:fldChar w:fldCharType="end"/>
                        </w:r>
                      </w:p>
                    </w:sdtContent>
                  </w:sdt>
                  <w:p>
                    <w:pPr>
                      <w:pStyle w:val="2"/>
                    </w:pPr>
                  </w:p>
                </w:txbxContent>
              </v:textbox>
            </v:shape>
          </w:pict>
        </mc:Fallback>
      </mc:AlternateContent>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10"/>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06F2B7"/>
    <w:multiLevelType w:val="singleLevel"/>
    <w:tmpl w:val="8606F2B7"/>
    <w:lvl w:ilvl="0" w:tentative="0">
      <w:start w:val="1"/>
      <w:numFmt w:val="decimal"/>
      <w:lvlText w:val="%1."/>
      <w:lvlJc w:val="left"/>
      <w:pPr>
        <w:tabs>
          <w:tab w:val="left" w:pos="312"/>
        </w:tabs>
      </w:p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jNzcwYTNhMWIyMzMzNmJiMDA5OGFmZGMzODg4NDIifQ=="/>
  </w:docVars>
  <w:rsids>
    <w:rsidRoot w:val="00F1361C"/>
    <w:rsid w:val="000222C6"/>
    <w:rsid w:val="000250CD"/>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12FB5"/>
    <w:rsid w:val="00220536"/>
    <w:rsid w:val="00235629"/>
    <w:rsid w:val="00256CED"/>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2D19"/>
    <w:rsid w:val="004A711F"/>
    <w:rsid w:val="004B199D"/>
    <w:rsid w:val="004B4690"/>
    <w:rsid w:val="004E0A2D"/>
    <w:rsid w:val="004E206B"/>
    <w:rsid w:val="004E6DF7"/>
    <w:rsid w:val="004F0FBD"/>
    <w:rsid w:val="00505A47"/>
    <w:rsid w:val="00512FDA"/>
    <w:rsid w:val="00520DA0"/>
    <w:rsid w:val="005664BB"/>
    <w:rsid w:val="0057481D"/>
    <w:rsid w:val="0058486E"/>
    <w:rsid w:val="005B1A24"/>
    <w:rsid w:val="005D1C8B"/>
    <w:rsid w:val="005D5CED"/>
    <w:rsid w:val="005F1A4C"/>
    <w:rsid w:val="00605688"/>
    <w:rsid w:val="006070AF"/>
    <w:rsid w:val="00607E6C"/>
    <w:rsid w:val="006101B1"/>
    <w:rsid w:val="00614E44"/>
    <w:rsid w:val="00622830"/>
    <w:rsid w:val="00630AEF"/>
    <w:rsid w:val="006325F8"/>
    <w:rsid w:val="00634C9A"/>
    <w:rsid w:val="006440E4"/>
    <w:rsid w:val="00646D16"/>
    <w:rsid w:val="0066343B"/>
    <w:rsid w:val="00664777"/>
    <w:rsid w:val="006748A4"/>
    <w:rsid w:val="00683E73"/>
    <w:rsid w:val="00692900"/>
    <w:rsid w:val="006A3141"/>
    <w:rsid w:val="006A5E34"/>
    <w:rsid w:val="006B2422"/>
    <w:rsid w:val="006B2B9A"/>
    <w:rsid w:val="006C1937"/>
    <w:rsid w:val="006E6592"/>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18E9"/>
    <w:rsid w:val="00853718"/>
    <w:rsid w:val="00855221"/>
    <w:rsid w:val="00860645"/>
    <w:rsid w:val="00871F71"/>
    <w:rsid w:val="00885AF4"/>
    <w:rsid w:val="008939CD"/>
    <w:rsid w:val="008B768C"/>
    <w:rsid w:val="008C18D2"/>
    <w:rsid w:val="008C4DB1"/>
    <w:rsid w:val="008C4EAF"/>
    <w:rsid w:val="008C5176"/>
    <w:rsid w:val="008C7FD0"/>
    <w:rsid w:val="008E1DE7"/>
    <w:rsid w:val="008E276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2C6F"/>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12E5E0B"/>
    <w:rsid w:val="01C03CFD"/>
    <w:rsid w:val="02A97BBA"/>
    <w:rsid w:val="04F00E3D"/>
    <w:rsid w:val="062606BA"/>
    <w:rsid w:val="07010F63"/>
    <w:rsid w:val="08FD3459"/>
    <w:rsid w:val="09BF7592"/>
    <w:rsid w:val="0A2960CB"/>
    <w:rsid w:val="0A6823CD"/>
    <w:rsid w:val="0B2637BA"/>
    <w:rsid w:val="0B5D3FB7"/>
    <w:rsid w:val="0E833FD8"/>
    <w:rsid w:val="0E937688"/>
    <w:rsid w:val="10357431"/>
    <w:rsid w:val="103F2004"/>
    <w:rsid w:val="106C79F1"/>
    <w:rsid w:val="10C055FF"/>
    <w:rsid w:val="12D625A1"/>
    <w:rsid w:val="12E70B64"/>
    <w:rsid w:val="13805DCE"/>
    <w:rsid w:val="14832D5A"/>
    <w:rsid w:val="16BB723D"/>
    <w:rsid w:val="17BD74CA"/>
    <w:rsid w:val="187177D1"/>
    <w:rsid w:val="19492380"/>
    <w:rsid w:val="1A676630"/>
    <w:rsid w:val="1B9B71A9"/>
    <w:rsid w:val="1C43195A"/>
    <w:rsid w:val="1C9224FB"/>
    <w:rsid w:val="1D1B107A"/>
    <w:rsid w:val="1D263BEA"/>
    <w:rsid w:val="1EBD4810"/>
    <w:rsid w:val="1F1F1F72"/>
    <w:rsid w:val="1F427447"/>
    <w:rsid w:val="1F637B79"/>
    <w:rsid w:val="20A01ACC"/>
    <w:rsid w:val="22BE2F5A"/>
    <w:rsid w:val="22E715FF"/>
    <w:rsid w:val="22F45CDE"/>
    <w:rsid w:val="23890EC3"/>
    <w:rsid w:val="240371BF"/>
    <w:rsid w:val="240473A5"/>
    <w:rsid w:val="242315D1"/>
    <w:rsid w:val="284C7AEF"/>
    <w:rsid w:val="289755CD"/>
    <w:rsid w:val="29965FEA"/>
    <w:rsid w:val="29FD04D3"/>
    <w:rsid w:val="2AF902D6"/>
    <w:rsid w:val="2B1B6760"/>
    <w:rsid w:val="2B2470B9"/>
    <w:rsid w:val="2B5F7945"/>
    <w:rsid w:val="2EFE5E65"/>
    <w:rsid w:val="2F621478"/>
    <w:rsid w:val="2FDD61CF"/>
    <w:rsid w:val="301636C3"/>
    <w:rsid w:val="303840CC"/>
    <w:rsid w:val="319F7F4E"/>
    <w:rsid w:val="32F214DD"/>
    <w:rsid w:val="33B52561"/>
    <w:rsid w:val="33D406D1"/>
    <w:rsid w:val="35B73ADD"/>
    <w:rsid w:val="35B83C10"/>
    <w:rsid w:val="36257011"/>
    <w:rsid w:val="36E556F1"/>
    <w:rsid w:val="38CE33F9"/>
    <w:rsid w:val="396761A3"/>
    <w:rsid w:val="3A5170E9"/>
    <w:rsid w:val="3C042B38"/>
    <w:rsid w:val="3C304D77"/>
    <w:rsid w:val="3C516142"/>
    <w:rsid w:val="3E8D496D"/>
    <w:rsid w:val="3EDE1EEF"/>
    <w:rsid w:val="3FCD1537"/>
    <w:rsid w:val="406A72F3"/>
    <w:rsid w:val="40853095"/>
    <w:rsid w:val="40CD36FC"/>
    <w:rsid w:val="442B0698"/>
    <w:rsid w:val="44785423"/>
    <w:rsid w:val="45AD46BA"/>
    <w:rsid w:val="48CC082E"/>
    <w:rsid w:val="48DF0C6F"/>
    <w:rsid w:val="4BFF64D2"/>
    <w:rsid w:val="4CDF2119"/>
    <w:rsid w:val="4CF46A25"/>
    <w:rsid w:val="4E4E4FCA"/>
    <w:rsid w:val="4F504F8B"/>
    <w:rsid w:val="4F9C1B99"/>
    <w:rsid w:val="4FFC34D8"/>
    <w:rsid w:val="503E3CAE"/>
    <w:rsid w:val="51943974"/>
    <w:rsid w:val="51BB6D80"/>
    <w:rsid w:val="52307478"/>
    <w:rsid w:val="525405B7"/>
    <w:rsid w:val="539A2662"/>
    <w:rsid w:val="53B9515E"/>
    <w:rsid w:val="53EF7B10"/>
    <w:rsid w:val="542A6C95"/>
    <w:rsid w:val="56D54359"/>
    <w:rsid w:val="57133B53"/>
    <w:rsid w:val="58EF340B"/>
    <w:rsid w:val="5BCF13AA"/>
    <w:rsid w:val="5D931ED9"/>
    <w:rsid w:val="5F7607A9"/>
    <w:rsid w:val="5FA673E7"/>
    <w:rsid w:val="62C7296B"/>
    <w:rsid w:val="67890081"/>
    <w:rsid w:val="68FB11AE"/>
    <w:rsid w:val="69675E61"/>
    <w:rsid w:val="69DC77BA"/>
    <w:rsid w:val="6A470F80"/>
    <w:rsid w:val="6AF27F61"/>
    <w:rsid w:val="6BC26EC9"/>
    <w:rsid w:val="6C692D93"/>
    <w:rsid w:val="6C912D65"/>
    <w:rsid w:val="6D5D2AE8"/>
    <w:rsid w:val="6D7A26C2"/>
    <w:rsid w:val="6F11404E"/>
    <w:rsid w:val="6F492AB0"/>
    <w:rsid w:val="707B0E10"/>
    <w:rsid w:val="7140340A"/>
    <w:rsid w:val="72122737"/>
    <w:rsid w:val="726F6187"/>
    <w:rsid w:val="73272DCE"/>
    <w:rsid w:val="73B748BA"/>
    <w:rsid w:val="73E0768E"/>
    <w:rsid w:val="73E70F7F"/>
    <w:rsid w:val="744447BA"/>
    <w:rsid w:val="76656344"/>
    <w:rsid w:val="76823227"/>
    <w:rsid w:val="77BE2F02"/>
    <w:rsid w:val="77FF26F7"/>
    <w:rsid w:val="78023349"/>
    <w:rsid w:val="79935B7D"/>
    <w:rsid w:val="7C382C12"/>
    <w:rsid w:val="7D5E13DA"/>
    <w:rsid w:val="7E372D2F"/>
    <w:rsid w:val="7ED41D9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rPr>
      <w:szCs w:val="20"/>
    </w:rPr>
  </w:style>
  <w:style w:type="paragraph" w:styleId="7">
    <w:name w:val="Body Text"/>
    <w:basedOn w:val="1"/>
    <w:link w:val="24"/>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qFormat/>
    <w:uiPriority w:val="0"/>
    <w:pPr>
      <w:spacing w:before="100" w:beforeAutospacing="1" w:after="100" w:afterAutospacing="1"/>
      <w:jc w:val="left"/>
    </w:pPr>
    <w:rPr>
      <w:rFonts w:ascii="Calibri" w:hAnsi="Calibri"/>
      <w:kern w:val="0"/>
      <w:sz w:val="24"/>
    </w:r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Char"/>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Char"/>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Char"/>
    <w:link w:val="7"/>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6"/>
    <w:link w:val="4"/>
    <w:qFormat/>
    <w:uiPriority w:val="9"/>
    <w:rPr>
      <w:rFonts w:ascii="Times New Roman" w:hAnsi="Times New Roman"/>
      <w:b/>
      <w:bCs/>
      <w:kern w:val="44"/>
      <w:sz w:val="44"/>
      <w:szCs w:val="44"/>
    </w:rPr>
  </w:style>
  <w:style w:type="character" w:customStyle="1" w:styleId="28">
    <w:name w:val="标题 2 Char"/>
    <w:basedOn w:val="16"/>
    <w:link w:val="5"/>
    <w:qFormat/>
    <w:uiPriority w:val="9"/>
    <w:rPr>
      <w:rFonts w:asciiTheme="majorHAnsi" w:hAnsiTheme="majorHAnsi" w:eastAsiaTheme="majorEastAsia" w:cstheme="majorBidi"/>
      <w:b/>
      <w:bCs/>
      <w:kern w:val="2"/>
      <w:sz w:val="32"/>
      <w:szCs w:val="32"/>
    </w:rPr>
  </w:style>
  <w:style w:type="paragraph" w:customStyle="1" w:styleId="29">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批注框文本 Char"/>
    <w:basedOn w:val="16"/>
    <w:link w:val="9"/>
    <w:semiHidden/>
    <w:qFormat/>
    <w:uiPriority w:val="99"/>
    <w:rPr>
      <w:rFonts w:ascii="Times New Roman" w:hAnsi="Times New Roman"/>
      <w:kern w:val="2"/>
      <w:sz w:val="18"/>
      <w:szCs w:val="18"/>
    </w:rPr>
  </w:style>
  <w:style w:type="character" w:customStyle="1" w:styleId="31">
    <w:name w:val="标题 3 Char"/>
    <w:basedOn w:val="16"/>
    <w:link w:val="6"/>
    <w:qFormat/>
    <w:uiPriority w:val="9"/>
    <w:rPr>
      <w:rFonts w:ascii="Times New Roman" w:hAnsi="Times New Roman"/>
      <w:b/>
      <w:bCs/>
      <w:kern w:val="2"/>
      <w:sz w:val="32"/>
      <w:szCs w:val="32"/>
    </w:rPr>
  </w:style>
  <w:style w:type="paragraph" w:styleId="32">
    <w:name w:val="No Spacing"/>
    <w:qFormat/>
    <w:uiPriority w:val="1"/>
    <w:pPr>
      <w:widowControl w:val="0"/>
      <w:jc w:val="both"/>
    </w:pPr>
    <w:rPr>
      <w:rFonts w:ascii="Times New Roman" w:hAnsi="Times New Roman" w:eastAsia="仿宋_GB2312" w:cs="Times New Roman"/>
      <w:kern w:val="2"/>
      <w:sz w:val="32"/>
      <w:szCs w:val="24"/>
      <w:lang w:val="en-US" w:eastAsia="zh-CN" w:bidi="ar-SA"/>
    </w:rPr>
  </w:style>
  <w:style w:type="paragraph" w:customStyle="1" w:styleId="33">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Workbook1.xls"/><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6.emf"/><Relationship Id="rId2" Type="http://schemas.openxmlformats.org/officeDocument/2006/relationships/settings" Target="settings.xml"/><Relationship Id="rId19" Type="http://schemas.openxmlformats.org/officeDocument/2006/relationships/oleObject" Target="embeddings/Workbook6.xls"/><Relationship Id="rId18" Type="http://schemas.openxmlformats.org/officeDocument/2006/relationships/image" Target="media/image5.emf"/><Relationship Id="rId17" Type="http://schemas.openxmlformats.org/officeDocument/2006/relationships/oleObject" Target="embeddings/Workbook5.xls"/><Relationship Id="rId16" Type="http://schemas.openxmlformats.org/officeDocument/2006/relationships/image" Target="media/image4.emf"/><Relationship Id="rId15" Type="http://schemas.openxmlformats.org/officeDocument/2006/relationships/oleObject" Target="embeddings/Workbook4.xls"/><Relationship Id="rId14" Type="http://schemas.openxmlformats.org/officeDocument/2006/relationships/image" Target="media/image3.emf"/><Relationship Id="rId13" Type="http://schemas.openxmlformats.org/officeDocument/2006/relationships/oleObject" Target="embeddings/Workbook3.xls"/><Relationship Id="rId12" Type="http://schemas.openxmlformats.org/officeDocument/2006/relationships/image" Target="media/image2.emf"/><Relationship Id="rId11" Type="http://schemas.openxmlformats.org/officeDocument/2006/relationships/oleObject" Target="embeddings/Workbook2.xls"/><Relationship Id="rId10" Type="http://schemas.openxmlformats.org/officeDocument/2006/relationships/image" Target="media/image1.emf"/><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dministrator\&#26700;&#38754;\&#24037;&#20316;&#31807;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收入支出总表</a:t>
            </a:r>
          </a:p>
        </c:rich>
      </c:tx>
      <c:layout/>
      <c:overlay val="0"/>
      <c:spPr>
        <a:noFill/>
        <a:ln>
          <a:noFill/>
        </a:ln>
        <a:effectLst/>
      </c:spPr>
    </c:title>
    <c:autoTitleDeleted val="0"/>
    <c:plotArea>
      <c:layout>
        <c:manualLayout>
          <c:layoutTarget val="inner"/>
          <c:xMode val="edge"/>
          <c:yMode val="edge"/>
          <c:x val="0.0809021251987856"/>
          <c:y val="0.193084242283592"/>
          <c:w val="0.877172184473037"/>
          <c:h val="0.710930610350429"/>
        </c:manualLayout>
      </c:layout>
      <c:barChart>
        <c:barDir val="col"/>
        <c:grouping val="clustered"/>
        <c:varyColors val="0"/>
        <c:ser>
          <c:idx val="0"/>
          <c:order val="0"/>
          <c:spPr>
            <a:solidFill>
              <a:schemeClr val="accent1"/>
            </a:solidFill>
            <a:ln>
              <a:noFill/>
            </a:ln>
            <a:effectLst/>
          </c:spPr>
          <c:invertIfNegative val="0"/>
          <c:dPt>
            <c:idx val="1"/>
            <c:invertIfNegative val="0"/>
            <c:bubble3D val="0"/>
            <c:spPr>
              <a:solidFill>
                <a:schemeClr val="accent6">
                  <a:lumMod val="75000"/>
                </a:schemeClr>
              </a:solidFill>
              <a:ln>
                <a:noFill/>
              </a:ln>
              <a:effectLst/>
            </c:spPr>
          </c:dPt>
          <c:dPt>
            <c:idx val="3"/>
            <c:invertIfNegative val="0"/>
            <c:bubble3D val="0"/>
            <c:spPr>
              <a:solidFill>
                <a:schemeClr val="accent6">
                  <a:lumMod val="75000"/>
                </a:schemeClr>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[工作簿1.xlsx]Sheet1!$A$1:$A$4</c:f>
              <c:strCache>
                <c:ptCount val="4"/>
                <c:pt idx="0">
                  <c:v>2017年收入</c:v>
                </c:pt>
                <c:pt idx="1">
                  <c:v>2017年支出</c:v>
                </c:pt>
                <c:pt idx="2">
                  <c:v>2018年收入</c:v>
                </c:pt>
                <c:pt idx="3">
                  <c:v>2018年支出</c:v>
                </c:pt>
              </c:strCache>
            </c:strRef>
          </c:cat>
          <c:val>
            <c:numRef>
              <c:f>[工作簿1.xlsx]Sheet1!$B$1:$B$4</c:f>
              <c:numCache>
                <c:formatCode>General</c:formatCode>
                <c:ptCount val="4"/>
                <c:pt idx="0">
                  <c:v>950.23</c:v>
                </c:pt>
                <c:pt idx="1">
                  <c:v>758.77</c:v>
                </c:pt>
                <c:pt idx="2">
                  <c:v>1029.24</c:v>
                </c:pt>
                <c:pt idx="3">
                  <c:v>905.43</c:v>
                </c:pt>
              </c:numCache>
            </c:numRef>
          </c:val>
        </c:ser>
        <c:dLbls>
          <c:showLegendKey val="0"/>
          <c:showVal val="1"/>
          <c:showCatName val="0"/>
          <c:showSerName val="0"/>
          <c:showPercent val="0"/>
          <c:showBubbleSize val="0"/>
        </c:dLbls>
        <c:gapWidth val="219"/>
        <c:overlap val="-27"/>
        <c:axId val="116552832"/>
        <c:axId val="116554368"/>
      </c:barChart>
      <c:catAx>
        <c:axId val="11655283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6554368"/>
        <c:crosses val="autoZero"/>
        <c:auto val="1"/>
        <c:lblAlgn val="ctr"/>
        <c:lblOffset val="100"/>
        <c:noMultiLvlLbl val="0"/>
      </c:catAx>
      <c:valAx>
        <c:axId val="11655436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6552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49"/>
    <customShpInfo spid="_x0000_s1031"/>
    <customShpInfo spid="_x0000_s1034"/>
    <customShpInfo spid="_x0000_s1039"/>
    <customShpInfo spid="_x0000_s1040"/>
    <customShpInfo spid="_x0000_s104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3473D7-E868-470C-BB4B-2E4FCDBCC1D5}">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31</Pages>
  <Words>11941</Words>
  <Characters>12917</Characters>
  <Lines>27</Lines>
  <Paragraphs>30</Paragraphs>
  <TotalTime>43</TotalTime>
  <ScaleCrop>false</ScaleCrop>
  <LinksUpToDate>false</LinksUpToDate>
  <CharactersWithSpaces>13091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Administrator</cp:lastModifiedBy>
  <cp:lastPrinted>2019-09-27T02:46:00Z</cp:lastPrinted>
  <dcterms:modified xsi:type="dcterms:W3CDTF">2023-06-06T01:30:15Z</dcterms:modified>
  <dc:title>四川省***</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A2C84DD1CEB84FC59A298E39C6CEF628_13</vt:lpwstr>
  </property>
</Properties>
</file>